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769DD0" w14:textId="77777777" w:rsidR="004800FD" w:rsidRDefault="004800FD" w:rsidP="005C5E6D">
      <w:pPr>
        <w:spacing w:after="0" w:line="240" w:lineRule="auto"/>
        <w:rPr>
          <w:rFonts w:cstheme="minorHAnsi"/>
          <w:b/>
        </w:rPr>
      </w:pPr>
      <w:r>
        <w:rPr>
          <w:rFonts w:cstheme="minorHAnsi"/>
          <w:b/>
        </w:rPr>
        <w:t>Exploring t</w:t>
      </w:r>
      <w:r w:rsidRPr="00F25C1F">
        <w:rPr>
          <w:rFonts w:cstheme="minorHAnsi"/>
          <w:b/>
        </w:rPr>
        <w:t>he ‘penumbra of the non-verbal’</w:t>
      </w:r>
      <w:r>
        <w:rPr>
          <w:rFonts w:cstheme="minorHAnsi"/>
          <w:b/>
        </w:rPr>
        <w:t xml:space="preserve">: the relationship between writing and making in a </w:t>
      </w:r>
      <w:r w:rsidRPr="00F25C1F">
        <w:rPr>
          <w:rFonts w:cstheme="minorHAnsi"/>
          <w:b/>
        </w:rPr>
        <w:t>practice-based Ph.D.</w:t>
      </w:r>
    </w:p>
    <w:p w14:paraId="4790FC0B" w14:textId="202216C7" w:rsidR="004800FD" w:rsidRDefault="004800FD" w:rsidP="00752ED1">
      <w:pPr>
        <w:spacing w:after="0" w:line="240" w:lineRule="auto"/>
        <w:rPr>
          <w:rFonts w:cstheme="minorHAnsi"/>
        </w:rPr>
      </w:pPr>
      <w:r>
        <w:rPr>
          <w:rFonts w:cstheme="minorHAnsi"/>
        </w:rPr>
        <w:t>Sarah Ho</w:t>
      </w:r>
      <w:r w:rsidRPr="00F25C1F">
        <w:rPr>
          <w:rFonts w:cstheme="minorHAnsi"/>
        </w:rPr>
        <w:t>rton</w:t>
      </w:r>
    </w:p>
    <w:p w14:paraId="56D08F88" w14:textId="1A1F39F0" w:rsidR="004800FD" w:rsidRDefault="004800FD" w:rsidP="00752ED1">
      <w:pPr>
        <w:spacing w:after="0" w:line="240" w:lineRule="auto"/>
        <w:rPr>
          <w:rFonts w:cstheme="minorHAnsi"/>
        </w:rPr>
      </w:pPr>
    </w:p>
    <w:p w14:paraId="3AFE6462" w14:textId="30705164" w:rsidR="004800FD" w:rsidRDefault="004800FD" w:rsidP="00247764">
      <w:pPr>
        <w:spacing w:after="0" w:line="240" w:lineRule="auto"/>
        <w:rPr>
          <w:rFonts w:cstheme="minorHAnsi"/>
        </w:rPr>
      </w:pPr>
      <w:r>
        <w:rPr>
          <w:rFonts w:cstheme="minorHAnsi"/>
        </w:rPr>
        <w:t xml:space="preserve">Word Count: </w:t>
      </w:r>
      <w:r w:rsidR="003C40D5">
        <w:rPr>
          <w:rFonts w:cstheme="minorHAnsi"/>
        </w:rPr>
        <w:t>2798 (excluding References)</w:t>
      </w:r>
    </w:p>
    <w:p w14:paraId="5117D224" w14:textId="34458542" w:rsidR="004800FD" w:rsidRDefault="004800FD" w:rsidP="00247764">
      <w:pPr>
        <w:spacing w:after="0" w:line="240" w:lineRule="auto"/>
        <w:rPr>
          <w:rFonts w:cstheme="minorHAnsi"/>
        </w:rPr>
      </w:pPr>
      <w:r>
        <w:rPr>
          <w:rFonts w:cstheme="minorHAnsi"/>
        </w:rPr>
        <w:t>Image Count: 5</w:t>
      </w:r>
    </w:p>
    <w:p w14:paraId="49583A76" w14:textId="0D1617B7" w:rsidR="004800FD" w:rsidRDefault="004800FD" w:rsidP="00247764">
      <w:pPr>
        <w:spacing w:after="0" w:line="240" w:lineRule="auto"/>
        <w:rPr>
          <w:rFonts w:cstheme="minorHAnsi"/>
        </w:rPr>
      </w:pPr>
    </w:p>
    <w:p w14:paraId="7B162811" w14:textId="77777777" w:rsidR="005C5E6D" w:rsidRDefault="004F1E24" w:rsidP="00247764">
      <w:pPr>
        <w:autoSpaceDE w:val="0"/>
        <w:autoSpaceDN w:val="0"/>
        <w:adjustRightInd w:val="0"/>
        <w:spacing w:after="0" w:line="240" w:lineRule="auto"/>
        <w:jc w:val="both"/>
        <w:rPr>
          <w:rFonts w:cstheme="minorHAnsi"/>
        </w:rPr>
      </w:pPr>
      <w:r w:rsidRPr="00752ED1">
        <w:rPr>
          <w:rFonts w:cstheme="minorHAnsi"/>
        </w:rPr>
        <w:t xml:space="preserve">Bio: </w:t>
      </w:r>
    </w:p>
    <w:p w14:paraId="412794B0" w14:textId="259A0B49" w:rsidR="0055429C" w:rsidRDefault="0055429C" w:rsidP="005C5E6D">
      <w:pPr>
        <w:autoSpaceDE w:val="0"/>
        <w:autoSpaceDN w:val="0"/>
        <w:adjustRightInd w:val="0"/>
        <w:spacing w:after="0" w:line="240" w:lineRule="auto"/>
        <w:jc w:val="both"/>
        <w:rPr>
          <w:rFonts w:eastAsia="MS Mincho"/>
          <w:color w:val="000000"/>
        </w:rPr>
      </w:pPr>
      <w:proofErr w:type="spellStart"/>
      <w:r w:rsidRPr="00752ED1">
        <w:rPr>
          <w:rFonts w:eastAsia="MS Mincho"/>
          <w:color w:val="000000"/>
        </w:rPr>
        <w:t>Dr.</w:t>
      </w:r>
      <w:proofErr w:type="spellEnd"/>
      <w:r w:rsidRPr="00752ED1">
        <w:rPr>
          <w:rFonts w:eastAsia="MS Mincho"/>
          <w:color w:val="000000"/>
        </w:rPr>
        <w:t xml:space="preserve"> Sarah Horton is an artist and lecturer. Her PhD, en</w:t>
      </w:r>
      <w:r w:rsidRPr="00247764">
        <w:rPr>
          <w:rFonts w:eastAsia="MS Mincho"/>
          <w:color w:val="000000"/>
        </w:rPr>
        <w:t>titled ‘Decoration: Disrupting the workplace and challenging the work of art’ indicates an ongoing interest in the way pattern, decoration and ornament is used in fine art. She was Learning Co-ordinator for the Norwich leg of the British Art Show 8 and has exhibited nationally and internationally.</w:t>
      </w:r>
    </w:p>
    <w:p w14:paraId="21AFC337" w14:textId="77777777" w:rsidR="005C5E6D" w:rsidRPr="00C460E0" w:rsidRDefault="005C5E6D" w:rsidP="00247764">
      <w:pPr>
        <w:autoSpaceDE w:val="0"/>
        <w:autoSpaceDN w:val="0"/>
        <w:adjustRightInd w:val="0"/>
        <w:spacing w:after="0" w:line="240" w:lineRule="auto"/>
        <w:jc w:val="both"/>
        <w:rPr>
          <w:rFonts w:eastAsia="MS Mincho"/>
          <w:color w:val="000000"/>
        </w:rPr>
      </w:pPr>
    </w:p>
    <w:p w14:paraId="002C6129" w14:textId="285AC92D" w:rsidR="00E14D04" w:rsidRDefault="00D31494" w:rsidP="00137732">
      <w:pPr>
        <w:spacing w:after="0" w:line="240" w:lineRule="auto"/>
        <w:rPr>
          <w:rFonts w:cstheme="minorHAnsi"/>
          <w:b/>
        </w:rPr>
      </w:pPr>
      <w:bookmarkStart w:id="0" w:name="_GoBack"/>
      <w:bookmarkEnd w:id="0"/>
      <w:r>
        <w:rPr>
          <w:rFonts w:cstheme="minorHAnsi"/>
          <w:b/>
        </w:rPr>
        <w:t>Exploring t</w:t>
      </w:r>
      <w:r w:rsidR="00E611A0" w:rsidRPr="00F25C1F">
        <w:rPr>
          <w:rFonts w:cstheme="minorHAnsi"/>
          <w:b/>
        </w:rPr>
        <w:t xml:space="preserve">he </w:t>
      </w:r>
      <w:r w:rsidR="00590043" w:rsidRPr="00F25C1F">
        <w:rPr>
          <w:rFonts w:cstheme="minorHAnsi"/>
          <w:b/>
        </w:rPr>
        <w:t>‘</w:t>
      </w:r>
      <w:r w:rsidR="006322F5" w:rsidRPr="00F25C1F">
        <w:rPr>
          <w:rFonts w:cstheme="minorHAnsi"/>
          <w:b/>
        </w:rPr>
        <w:t>penumbra of the non-verbal</w:t>
      </w:r>
      <w:r w:rsidR="00590043" w:rsidRPr="00F25C1F">
        <w:rPr>
          <w:rFonts w:cstheme="minorHAnsi"/>
          <w:b/>
        </w:rPr>
        <w:t>’</w:t>
      </w:r>
      <w:r w:rsidR="00BC7634">
        <w:rPr>
          <w:rFonts w:cstheme="minorHAnsi"/>
          <w:b/>
        </w:rPr>
        <w:t xml:space="preserve">: </w:t>
      </w:r>
      <w:r w:rsidR="002F2352">
        <w:rPr>
          <w:rFonts w:cstheme="minorHAnsi"/>
          <w:b/>
        </w:rPr>
        <w:t xml:space="preserve">the relationship between writing and making in a </w:t>
      </w:r>
      <w:r w:rsidR="006322F5" w:rsidRPr="00F25C1F">
        <w:rPr>
          <w:rFonts w:cstheme="minorHAnsi"/>
          <w:b/>
        </w:rPr>
        <w:t xml:space="preserve">practice-based </w:t>
      </w:r>
      <w:r w:rsidR="00451D0B" w:rsidRPr="00F25C1F">
        <w:rPr>
          <w:rFonts w:cstheme="minorHAnsi"/>
          <w:b/>
        </w:rPr>
        <w:t>Ph.D.</w:t>
      </w:r>
    </w:p>
    <w:p w14:paraId="3BD09DDC" w14:textId="4D687FDB" w:rsidR="00723382" w:rsidRDefault="00F25C1F" w:rsidP="00137732">
      <w:pPr>
        <w:spacing w:after="0" w:line="240" w:lineRule="auto"/>
        <w:rPr>
          <w:rFonts w:cstheme="minorHAnsi"/>
        </w:rPr>
      </w:pPr>
      <w:r>
        <w:rPr>
          <w:rFonts w:cstheme="minorHAnsi"/>
        </w:rPr>
        <w:t>Sarah Ho</w:t>
      </w:r>
      <w:r w:rsidRPr="00F25C1F">
        <w:rPr>
          <w:rFonts w:cstheme="minorHAnsi"/>
        </w:rPr>
        <w:t>rton</w:t>
      </w:r>
    </w:p>
    <w:p w14:paraId="7672FE1E" w14:textId="1DE10241" w:rsidR="003C15DF" w:rsidRPr="00247764" w:rsidRDefault="003C15DF" w:rsidP="00137732">
      <w:pPr>
        <w:spacing w:after="0" w:line="240" w:lineRule="auto"/>
        <w:rPr>
          <w:rFonts w:cstheme="minorHAnsi"/>
        </w:rPr>
      </w:pPr>
    </w:p>
    <w:p w14:paraId="18F58D06" w14:textId="360F807A" w:rsidR="00195DBD" w:rsidRPr="00A412A4" w:rsidRDefault="00590043" w:rsidP="00137732">
      <w:pPr>
        <w:spacing w:after="0" w:line="240" w:lineRule="auto"/>
        <w:outlineLvl w:val="0"/>
        <w:rPr>
          <w:rFonts w:cstheme="minorHAnsi"/>
          <w:b/>
        </w:rPr>
      </w:pPr>
      <w:r w:rsidRPr="00A412A4">
        <w:rPr>
          <w:rFonts w:cstheme="minorHAnsi"/>
          <w:b/>
        </w:rPr>
        <w:t>Abstract</w:t>
      </w:r>
    </w:p>
    <w:p w14:paraId="5023D159" w14:textId="372A3AB0" w:rsidR="00D35AF2" w:rsidRPr="00A412A4" w:rsidRDefault="006322F5" w:rsidP="00773D4E">
      <w:pPr>
        <w:spacing w:after="0" w:line="240" w:lineRule="auto"/>
        <w:outlineLvl w:val="0"/>
        <w:rPr>
          <w:rFonts w:cstheme="minorHAnsi"/>
        </w:rPr>
      </w:pPr>
      <w:r w:rsidRPr="00A412A4">
        <w:rPr>
          <w:rFonts w:cstheme="minorHAnsi"/>
        </w:rPr>
        <w:t>The</w:t>
      </w:r>
      <w:r w:rsidR="008522A3" w:rsidRPr="00A412A4">
        <w:rPr>
          <w:rFonts w:cstheme="minorHAnsi"/>
        </w:rPr>
        <w:t xml:space="preserve"> </w:t>
      </w:r>
      <w:r w:rsidRPr="00A412A4">
        <w:rPr>
          <w:rFonts w:cstheme="minorHAnsi"/>
        </w:rPr>
        <w:t xml:space="preserve">penumbra </w:t>
      </w:r>
      <w:r w:rsidR="002F2352">
        <w:rPr>
          <w:rFonts w:cstheme="minorHAnsi"/>
        </w:rPr>
        <w:t xml:space="preserve">(or shadow) </w:t>
      </w:r>
      <w:r w:rsidRPr="00A412A4">
        <w:rPr>
          <w:rFonts w:cstheme="minorHAnsi"/>
        </w:rPr>
        <w:t xml:space="preserve">of the nonverbal </w:t>
      </w:r>
      <w:r w:rsidR="0046191E" w:rsidRPr="00A412A4">
        <w:rPr>
          <w:rFonts w:cstheme="minorHAnsi"/>
        </w:rPr>
        <w:t>is</w:t>
      </w:r>
      <w:r w:rsidR="00E611A0" w:rsidRPr="00A412A4">
        <w:rPr>
          <w:rFonts w:cstheme="minorHAnsi"/>
        </w:rPr>
        <w:t xml:space="preserve"> </w:t>
      </w:r>
      <w:r w:rsidR="002F2352">
        <w:rPr>
          <w:rFonts w:cstheme="minorHAnsi"/>
        </w:rPr>
        <w:t xml:space="preserve">a phrase </w:t>
      </w:r>
      <w:r w:rsidR="00E611A0" w:rsidRPr="00A412A4">
        <w:rPr>
          <w:rFonts w:cstheme="minorHAnsi"/>
        </w:rPr>
        <w:t xml:space="preserve">taken from </w:t>
      </w:r>
      <w:proofErr w:type="spellStart"/>
      <w:r w:rsidR="00E611A0" w:rsidRPr="00A412A4">
        <w:rPr>
          <w:rFonts w:cstheme="minorHAnsi"/>
        </w:rPr>
        <w:t>Sarat</w:t>
      </w:r>
      <w:proofErr w:type="spellEnd"/>
      <w:r w:rsidR="00E611A0" w:rsidRPr="00A412A4">
        <w:rPr>
          <w:rFonts w:cstheme="minorHAnsi"/>
        </w:rPr>
        <w:t xml:space="preserve"> </w:t>
      </w:r>
      <w:proofErr w:type="spellStart"/>
      <w:r w:rsidR="00E611A0" w:rsidRPr="00A412A4">
        <w:rPr>
          <w:rFonts w:cstheme="minorHAnsi"/>
        </w:rPr>
        <w:t>Maharaj’s</w:t>
      </w:r>
      <w:proofErr w:type="spellEnd"/>
      <w:r w:rsidR="00E611A0" w:rsidRPr="00A412A4">
        <w:rPr>
          <w:rFonts w:cstheme="minorHAnsi"/>
        </w:rPr>
        <w:t xml:space="preserve"> (2009) ar</w:t>
      </w:r>
      <w:r w:rsidRPr="00A412A4">
        <w:rPr>
          <w:rFonts w:cstheme="minorHAnsi"/>
        </w:rPr>
        <w:t>ticle ‘Know-how and No-how’ in which</w:t>
      </w:r>
      <w:r w:rsidR="00E611A0" w:rsidRPr="00A412A4">
        <w:rPr>
          <w:rFonts w:cstheme="minorHAnsi"/>
        </w:rPr>
        <w:t xml:space="preserve"> </w:t>
      </w:r>
      <w:proofErr w:type="spellStart"/>
      <w:r w:rsidR="00E611A0" w:rsidRPr="00A412A4">
        <w:rPr>
          <w:rFonts w:cstheme="minorHAnsi"/>
        </w:rPr>
        <w:t>Maharaj</w:t>
      </w:r>
      <w:proofErr w:type="spellEnd"/>
      <w:r w:rsidR="00E611A0" w:rsidRPr="00A412A4">
        <w:rPr>
          <w:rFonts w:cstheme="minorHAnsi"/>
        </w:rPr>
        <w:t xml:space="preserve"> describes a kind of making that does not </w:t>
      </w:r>
      <w:r w:rsidR="00590043" w:rsidRPr="00A412A4">
        <w:rPr>
          <w:rFonts w:cstheme="minorHAnsi"/>
        </w:rPr>
        <w:t xml:space="preserve">solely </w:t>
      </w:r>
      <w:r w:rsidR="006013F4" w:rsidRPr="00A412A4">
        <w:rPr>
          <w:rFonts w:cstheme="minorHAnsi"/>
        </w:rPr>
        <w:t xml:space="preserve">rely on the verbal </w:t>
      </w:r>
      <w:r w:rsidR="00E611A0" w:rsidRPr="00A412A4">
        <w:rPr>
          <w:rFonts w:cstheme="minorHAnsi"/>
        </w:rPr>
        <w:t xml:space="preserve">but on what he calls the ‘sticky’, somatic and material qualities of the </w:t>
      </w:r>
      <w:r w:rsidR="00195DBD">
        <w:rPr>
          <w:rFonts w:cstheme="minorHAnsi"/>
        </w:rPr>
        <w:t>art</w:t>
      </w:r>
      <w:r w:rsidR="00E611A0" w:rsidRPr="00A412A4">
        <w:rPr>
          <w:rFonts w:cstheme="minorHAnsi"/>
        </w:rPr>
        <w:t xml:space="preserve">work. </w:t>
      </w:r>
      <w:r w:rsidRPr="00A412A4">
        <w:rPr>
          <w:rFonts w:cstheme="minorHAnsi"/>
        </w:rPr>
        <w:t>He argues that t</w:t>
      </w:r>
      <w:r w:rsidR="00E611A0" w:rsidRPr="00A412A4">
        <w:rPr>
          <w:rFonts w:cstheme="minorHAnsi"/>
        </w:rPr>
        <w:t xml:space="preserve">hese </w:t>
      </w:r>
      <w:r w:rsidRPr="00A412A4">
        <w:rPr>
          <w:rFonts w:cstheme="minorHAnsi"/>
        </w:rPr>
        <w:t xml:space="preserve">qualities </w:t>
      </w:r>
      <w:r w:rsidR="00E611A0" w:rsidRPr="00A412A4">
        <w:rPr>
          <w:rFonts w:cstheme="minorHAnsi"/>
        </w:rPr>
        <w:t>exist independently of the discursive side of the process</w:t>
      </w:r>
      <w:r w:rsidR="00C41EA2" w:rsidRPr="00A412A4">
        <w:rPr>
          <w:rFonts w:cstheme="minorHAnsi"/>
        </w:rPr>
        <w:t>.</w:t>
      </w:r>
      <w:r w:rsidR="00D35AF2" w:rsidRPr="00A412A4">
        <w:rPr>
          <w:rFonts w:cstheme="minorHAnsi"/>
        </w:rPr>
        <w:t xml:space="preserve"> </w:t>
      </w:r>
      <w:r w:rsidR="0021294B" w:rsidRPr="00A412A4">
        <w:rPr>
          <w:rFonts w:cstheme="minorHAnsi"/>
        </w:rPr>
        <w:t>Th</w:t>
      </w:r>
      <w:r w:rsidR="00837E2E" w:rsidRPr="00A412A4">
        <w:rPr>
          <w:rFonts w:cstheme="minorHAnsi"/>
        </w:rPr>
        <w:t>is</w:t>
      </w:r>
      <w:r w:rsidR="00B12CDA" w:rsidRPr="00A412A4">
        <w:rPr>
          <w:rFonts w:cstheme="minorHAnsi"/>
        </w:rPr>
        <w:t xml:space="preserve"> article</w:t>
      </w:r>
      <w:r w:rsidR="0021294B" w:rsidRPr="00A412A4">
        <w:rPr>
          <w:rFonts w:cstheme="minorHAnsi"/>
        </w:rPr>
        <w:t xml:space="preserve"> explores th</w:t>
      </w:r>
      <w:r w:rsidRPr="00A412A4">
        <w:rPr>
          <w:rFonts w:cstheme="minorHAnsi"/>
        </w:rPr>
        <w:t xml:space="preserve">e complicated </w:t>
      </w:r>
      <w:r w:rsidR="0021294B" w:rsidRPr="00A412A4">
        <w:rPr>
          <w:rFonts w:cstheme="minorHAnsi"/>
        </w:rPr>
        <w:t xml:space="preserve">dynamic </w:t>
      </w:r>
      <w:r w:rsidRPr="00A412A4">
        <w:rPr>
          <w:rFonts w:cstheme="minorHAnsi"/>
        </w:rPr>
        <w:t>bet</w:t>
      </w:r>
      <w:r w:rsidR="00A412A4">
        <w:rPr>
          <w:rFonts w:cstheme="minorHAnsi"/>
        </w:rPr>
        <w:t>ween the material,</w:t>
      </w:r>
      <w:r w:rsidR="0046191E" w:rsidRPr="00A412A4">
        <w:rPr>
          <w:rFonts w:cstheme="minorHAnsi"/>
        </w:rPr>
        <w:t xml:space="preserve"> </w:t>
      </w:r>
      <w:r w:rsidR="00590043" w:rsidRPr="00A412A4">
        <w:rPr>
          <w:rFonts w:cstheme="minorHAnsi"/>
        </w:rPr>
        <w:t xml:space="preserve">‘sticky’ </w:t>
      </w:r>
      <w:r w:rsidRPr="00A412A4">
        <w:rPr>
          <w:rFonts w:cstheme="minorHAnsi"/>
        </w:rPr>
        <w:t xml:space="preserve">aspects of making and the various texts that </w:t>
      </w:r>
      <w:r w:rsidR="003C15DF">
        <w:rPr>
          <w:rFonts w:cstheme="minorHAnsi"/>
        </w:rPr>
        <w:t xml:space="preserve">were written </w:t>
      </w:r>
      <w:r w:rsidRPr="00A412A4">
        <w:rPr>
          <w:rFonts w:cstheme="minorHAnsi"/>
        </w:rPr>
        <w:t xml:space="preserve">alongside </w:t>
      </w:r>
      <w:r w:rsidR="00195DBD">
        <w:rPr>
          <w:rFonts w:cstheme="minorHAnsi"/>
        </w:rPr>
        <w:t>the making</w:t>
      </w:r>
      <w:r w:rsidRPr="00A412A4">
        <w:rPr>
          <w:rFonts w:cstheme="minorHAnsi"/>
        </w:rPr>
        <w:t xml:space="preserve"> </w:t>
      </w:r>
      <w:r w:rsidR="00621DB0" w:rsidRPr="00A412A4">
        <w:rPr>
          <w:rFonts w:cstheme="minorHAnsi"/>
        </w:rPr>
        <w:t xml:space="preserve">in </w:t>
      </w:r>
      <w:r w:rsidR="0021294B" w:rsidRPr="00A412A4">
        <w:rPr>
          <w:rFonts w:cstheme="minorHAnsi"/>
        </w:rPr>
        <w:t xml:space="preserve">my own </w:t>
      </w:r>
      <w:r w:rsidR="00451D0B" w:rsidRPr="00A412A4">
        <w:rPr>
          <w:rFonts w:cstheme="minorHAnsi"/>
        </w:rPr>
        <w:t>Ph.D.</w:t>
      </w:r>
      <w:r w:rsidR="00D31494">
        <w:rPr>
          <w:rFonts w:cstheme="minorHAnsi"/>
        </w:rPr>
        <w:t xml:space="preserve"> </w:t>
      </w:r>
      <w:r w:rsidR="00195DBD">
        <w:rPr>
          <w:rFonts w:cstheme="minorHAnsi"/>
        </w:rPr>
        <w:t>How can the practical and written components work to support rather than usurp each other? I will argue that</w:t>
      </w:r>
      <w:r w:rsidR="00B9125F">
        <w:rPr>
          <w:rFonts w:cstheme="minorHAnsi"/>
        </w:rPr>
        <w:t xml:space="preserve"> </w:t>
      </w:r>
      <w:r w:rsidR="00195DBD">
        <w:rPr>
          <w:rFonts w:cstheme="minorHAnsi"/>
        </w:rPr>
        <w:t xml:space="preserve">the relationship between theory (as written) and theory (as practice) form concertina-like push-and-pull tensions that each inform the other. </w:t>
      </w:r>
      <w:r w:rsidR="002F2352" w:rsidRPr="00A412A4">
        <w:rPr>
          <w:rFonts w:cstheme="minorHAnsi"/>
        </w:rPr>
        <w:t>Using Pierre Bourdieu’s concept of ‘habitus’ the</w:t>
      </w:r>
      <w:r w:rsidR="002F2352">
        <w:rPr>
          <w:rFonts w:cstheme="minorHAnsi"/>
        </w:rPr>
        <w:t xml:space="preserve"> material, or ‘sticky’, </w:t>
      </w:r>
      <w:r w:rsidR="002F2352" w:rsidRPr="00A412A4">
        <w:rPr>
          <w:rFonts w:cstheme="minorHAnsi"/>
        </w:rPr>
        <w:t xml:space="preserve">qualities </w:t>
      </w:r>
      <w:r w:rsidR="002F2352">
        <w:rPr>
          <w:rFonts w:cstheme="minorHAnsi"/>
        </w:rPr>
        <w:t xml:space="preserve">of artworks </w:t>
      </w:r>
      <w:r w:rsidR="002F2352" w:rsidRPr="00A412A4">
        <w:rPr>
          <w:rFonts w:cstheme="minorHAnsi"/>
        </w:rPr>
        <w:t>may be seen to link to our bodily and haptic understanding of the world.</w:t>
      </w:r>
      <w:r w:rsidR="002F2352">
        <w:rPr>
          <w:rFonts w:cstheme="minorHAnsi"/>
        </w:rPr>
        <w:t xml:space="preserve"> </w:t>
      </w:r>
      <w:r w:rsidR="00D87DA1" w:rsidRPr="00D87DA1">
        <w:rPr>
          <w:rFonts w:cstheme="minorHAnsi"/>
        </w:rPr>
        <w:t>Th</w:t>
      </w:r>
      <w:r w:rsidR="00D87DA1" w:rsidRPr="00E55DF3">
        <w:rPr>
          <w:rFonts w:cstheme="minorHAnsi"/>
        </w:rPr>
        <w:t>is</w:t>
      </w:r>
      <w:r w:rsidR="00D87DA1" w:rsidRPr="00D87DA1">
        <w:rPr>
          <w:rFonts w:cstheme="minorHAnsi"/>
        </w:rPr>
        <w:t xml:space="preserve"> </w:t>
      </w:r>
      <w:r w:rsidR="00D87DA1" w:rsidRPr="00E55DF3">
        <w:rPr>
          <w:rFonts w:cstheme="minorHAnsi"/>
        </w:rPr>
        <w:t>discussion</w:t>
      </w:r>
      <w:r w:rsidR="00D87DA1" w:rsidRPr="00D87DA1">
        <w:rPr>
          <w:rFonts w:cstheme="minorHAnsi"/>
        </w:rPr>
        <w:t xml:space="preserve"> has implications for anyone undertaking practice-based </w:t>
      </w:r>
      <w:r w:rsidR="00195DBD">
        <w:rPr>
          <w:rFonts w:cstheme="minorHAnsi"/>
        </w:rPr>
        <w:t>research</w:t>
      </w:r>
      <w:r w:rsidR="00D87DA1" w:rsidRPr="00D87DA1">
        <w:rPr>
          <w:rFonts w:cstheme="minorHAnsi"/>
        </w:rPr>
        <w:t xml:space="preserve"> who wish</w:t>
      </w:r>
      <w:r w:rsidR="00D87DA1" w:rsidRPr="00E55DF3">
        <w:rPr>
          <w:rFonts w:cstheme="minorHAnsi"/>
        </w:rPr>
        <w:t>es</w:t>
      </w:r>
      <w:r w:rsidR="00D87DA1" w:rsidRPr="00D87DA1">
        <w:rPr>
          <w:rFonts w:cstheme="minorHAnsi"/>
        </w:rPr>
        <w:t xml:space="preserve"> to gain a deeper understanding of the theory-practice </w:t>
      </w:r>
      <w:r w:rsidR="00D87DA1" w:rsidRPr="00E55DF3">
        <w:rPr>
          <w:rFonts w:cstheme="minorHAnsi"/>
        </w:rPr>
        <w:t>dynamic</w:t>
      </w:r>
      <w:r w:rsidR="00D87DA1" w:rsidRPr="00D87DA1">
        <w:rPr>
          <w:rFonts w:cstheme="minorHAnsi"/>
        </w:rPr>
        <w:t xml:space="preserve"> </w:t>
      </w:r>
      <w:r w:rsidR="00D87DA1" w:rsidRPr="00E55DF3">
        <w:rPr>
          <w:rFonts w:cstheme="minorHAnsi"/>
        </w:rPr>
        <w:t>within it.</w:t>
      </w:r>
      <w:r w:rsidR="00195DBD">
        <w:rPr>
          <w:rFonts w:cstheme="minorHAnsi"/>
        </w:rPr>
        <w:t xml:space="preserve"> </w:t>
      </w:r>
    </w:p>
    <w:p w14:paraId="26AF49CB" w14:textId="0B75669E" w:rsidR="00D35AF2" w:rsidRDefault="00D35AF2" w:rsidP="00D35AF2">
      <w:pPr>
        <w:spacing w:after="0" w:line="240" w:lineRule="auto"/>
        <w:rPr>
          <w:rFonts w:cstheme="minorHAnsi"/>
        </w:rPr>
      </w:pPr>
    </w:p>
    <w:p w14:paraId="31EE7026" w14:textId="17040EC9" w:rsidR="00D61040" w:rsidRPr="00247764" w:rsidRDefault="00D61040" w:rsidP="00D35AF2">
      <w:pPr>
        <w:spacing w:after="0" w:line="240" w:lineRule="auto"/>
        <w:rPr>
          <w:rFonts w:cstheme="minorHAnsi"/>
          <w:b/>
        </w:rPr>
      </w:pPr>
      <w:r w:rsidRPr="00247764">
        <w:rPr>
          <w:rFonts w:cstheme="minorHAnsi"/>
          <w:b/>
        </w:rPr>
        <w:t>Keywords</w:t>
      </w:r>
    </w:p>
    <w:p w14:paraId="11B7E1C1" w14:textId="5ECA1CA4" w:rsidR="00D61040" w:rsidRDefault="00D61040" w:rsidP="00D35AF2">
      <w:pPr>
        <w:spacing w:after="0" w:line="240" w:lineRule="auto"/>
        <w:rPr>
          <w:rFonts w:cstheme="minorHAnsi"/>
        </w:rPr>
      </w:pPr>
      <w:r>
        <w:rPr>
          <w:rFonts w:cstheme="minorHAnsi"/>
        </w:rPr>
        <w:t xml:space="preserve">Nonverbal, </w:t>
      </w:r>
      <w:proofErr w:type="spellStart"/>
      <w:r>
        <w:rPr>
          <w:rFonts w:cstheme="minorHAnsi"/>
        </w:rPr>
        <w:t>Maharaj</w:t>
      </w:r>
      <w:proofErr w:type="spellEnd"/>
      <w:r>
        <w:rPr>
          <w:rFonts w:cstheme="minorHAnsi"/>
        </w:rPr>
        <w:t>, practice-based research, concertina, penumbra of the non-verbal.</w:t>
      </w:r>
    </w:p>
    <w:p w14:paraId="32DFA16E" w14:textId="77777777" w:rsidR="00D61040" w:rsidRPr="00A412A4" w:rsidRDefault="00D61040" w:rsidP="00D35AF2">
      <w:pPr>
        <w:spacing w:after="0" w:line="240" w:lineRule="auto"/>
        <w:rPr>
          <w:rFonts w:cstheme="minorHAnsi"/>
        </w:rPr>
      </w:pPr>
    </w:p>
    <w:p w14:paraId="32501BB0" w14:textId="3ABF4400" w:rsidR="00195DBD" w:rsidRDefault="00590043" w:rsidP="00195DBD">
      <w:pPr>
        <w:spacing w:after="0" w:line="240" w:lineRule="auto"/>
        <w:rPr>
          <w:rFonts w:cstheme="minorHAnsi"/>
        </w:rPr>
      </w:pPr>
      <w:r w:rsidRPr="00A412A4">
        <w:rPr>
          <w:rFonts w:cstheme="minorHAnsi"/>
          <w:b/>
        </w:rPr>
        <w:t>Introduction</w:t>
      </w:r>
    </w:p>
    <w:p w14:paraId="2CF9E37B" w14:textId="5061D671" w:rsidR="00D31494" w:rsidRPr="00A412A4" w:rsidRDefault="00D31494" w:rsidP="00D31494">
      <w:pPr>
        <w:spacing w:after="0" w:line="240" w:lineRule="auto"/>
        <w:outlineLvl w:val="0"/>
        <w:rPr>
          <w:rFonts w:cstheme="minorHAnsi"/>
        </w:rPr>
      </w:pPr>
      <w:r w:rsidRPr="00A412A4">
        <w:rPr>
          <w:rFonts w:cstheme="minorHAnsi"/>
        </w:rPr>
        <w:t xml:space="preserve">The penumbra </w:t>
      </w:r>
      <w:r>
        <w:rPr>
          <w:rFonts w:cstheme="minorHAnsi"/>
        </w:rPr>
        <w:t xml:space="preserve">(or shadow) </w:t>
      </w:r>
      <w:r w:rsidRPr="00A412A4">
        <w:rPr>
          <w:rFonts w:cstheme="minorHAnsi"/>
        </w:rPr>
        <w:t xml:space="preserve">of the nonverbal is </w:t>
      </w:r>
      <w:r>
        <w:rPr>
          <w:rFonts w:cstheme="minorHAnsi"/>
        </w:rPr>
        <w:t xml:space="preserve">a phrase </w:t>
      </w:r>
      <w:r w:rsidRPr="00A412A4">
        <w:rPr>
          <w:rFonts w:cstheme="minorHAnsi"/>
        </w:rPr>
        <w:t xml:space="preserve">taken from </w:t>
      </w:r>
      <w:proofErr w:type="spellStart"/>
      <w:r w:rsidRPr="00A412A4">
        <w:rPr>
          <w:rFonts w:cstheme="minorHAnsi"/>
        </w:rPr>
        <w:t>Sarat</w:t>
      </w:r>
      <w:proofErr w:type="spellEnd"/>
      <w:r w:rsidRPr="00A412A4">
        <w:rPr>
          <w:rFonts w:cstheme="minorHAnsi"/>
        </w:rPr>
        <w:t xml:space="preserve"> </w:t>
      </w:r>
      <w:proofErr w:type="spellStart"/>
      <w:r w:rsidRPr="00A412A4">
        <w:rPr>
          <w:rFonts w:cstheme="minorHAnsi"/>
        </w:rPr>
        <w:t>Maharaj’s</w:t>
      </w:r>
      <w:proofErr w:type="spellEnd"/>
      <w:r w:rsidRPr="00A412A4">
        <w:rPr>
          <w:rFonts w:cstheme="minorHAnsi"/>
        </w:rPr>
        <w:t xml:space="preserve"> (2009) article ‘Know-how and No-how’ in which </w:t>
      </w:r>
      <w:proofErr w:type="spellStart"/>
      <w:r w:rsidRPr="00A412A4">
        <w:rPr>
          <w:rFonts w:cstheme="minorHAnsi"/>
        </w:rPr>
        <w:t>Maharaj</w:t>
      </w:r>
      <w:proofErr w:type="spellEnd"/>
      <w:r w:rsidRPr="00A412A4">
        <w:rPr>
          <w:rFonts w:cstheme="minorHAnsi"/>
        </w:rPr>
        <w:t xml:space="preserve"> describes a kind of making that does not solely rely on the verbal but on what he calls the ‘sticky’, somatic and material qualities of the </w:t>
      </w:r>
      <w:r>
        <w:rPr>
          <w:rFonts w:cstheme="minorHAnsi"/>
        </w:rPr>
        <w:t>art</w:t>
      </w:r>
      <w:r w:rsidRPr="00A412A4">
        <w:rPr>
          <w:rFonts w:cstheme="minorHAnsi"/>
        </w:rPr>
        <w:t>work. He argues that these qualities exist independently of the discursive side of the process. This article explores the complicated dynamic bet</w:t>
      </w:r>
      <w:r>
        <w:rPr>
          <w:rFonts w:cstheme="minorHAnsi"/>
        </w:rPr>
        <w:t>ween the material,</w:t>
      </w:r>
      <w:r w:rsidRPr="00A412A4">
        <w:rPr>
          <w:rFonts w:cstheme="minorHAnsi"/>
        </w:rPr>
        <w:t xml:space="preserve"> ‘sticky’ aspects of making and the various texts that </w:t>
      </w:r>
      <w:r>
        <w:rPr>
          <w:rFonts w:cstheme="minorHAnsi"/>
        </w:rPr>
        <w:t xml:space="preserve">were written </w:t>
      </w:r>
      <w:r w:rsidRPr="00A412A4">
        <w:rPr>
          <w:rFonts w:cstheme="minorHAnsi"/>
        </w:rPr>
        <w:t xml:space="preserve">alongside </w:t>
      </w:r>
      <w:r>
        <w:rPr>
          <w:rFonts w:cstheme="minorHAnsi"/>
        </w:rPr>
        <w:t>the making</w:t>
      </w:r>
      <w:r w:rsidRPr="00A412A4">
        <w:rPr>
          <w:rFonts w:cstheme="minorHAnsi"/>
        </w:rPr>
        <w:t xml:space="preserve"> in my own Ph.D.</w:t>
      </w:r>
      <w:r>
        <w:rPr>
          <w:rFonts w:cstheme="minorHAnsi"/>
        </w:rPr>
        <w:t xml:space="preserve"> </w:t>
      </w:r>
      <w:r w:rsidRPr="00EE683E">
        <w:rPr>
          <w:rFonts w:cstheme="minorHAnsi"/>
        </w:rPr>
        <w:t xml:space="preserve">entitled </w:t>
      </w:r>
      <w:r w:rsidRPr="00EE683E">
        <w:rPr>
          <w:rFonts w:cstheme="minorHAnsi"/>
          <w:i/>
        </w:rPr>
        <w:t>Decoration: Disrupting the Work Place and Challenging the Work of Art</w:t>
      </w:r>
      <w:r>
        <w:rPr>
          <w:rFonts w:cstheme="minorHAnsi"/>
        </w:rPr>
        <w:t>. How can the practical and written components work to support rather than usurp each other? I will argue that</w:t>
      </w:r>
      <w:r w:rsidR="00B9125F">
        <w:rPr>
          <w:rFonts w:cstheme="minorHAnsi"/>
        </w:rPr>
        <w:t xml:space="preserve"> </w:t>
      </w:r>
      <w:r>
        <w:rPr>
          <w:rFonts w:cstheme="minorHAnsi"/>
        </w:rPr>
        <w:t xml:space="preserve">the relationship between theory (as written) and theory (as practice) form concertina-like push-and-pull tensions that each inform the other. </w:t>
      </w:r>
      <w:r w:rsidRPr="00A412A4">
        <w:rPr>
          <w:rFonts w:cstheme="minorHAnsi"/>
        </w:rPr>
        <w:t>Using Pierre Bourdieu’s concept of ‘habitus’ the</w:t>
      </w:r>
      <w:r>
        <w:rPr>
          <w:rFonts w:cstheme="minorHAnsi"/>
        </w:rPr>
        <w:t xml:space="preserve"> material</w:t>
      </w:r>
      <w:r w:rsidR="00247764">
        <w:rPr>
          <w:rFonts w:cstheme="minorHAnsi"/>
        </w:rPr>
        <w:t>,</w:t>
      </w:r>
      <w:r>
        <w:rPr>
          <w:rFonts w:cstheme="minorHAnsi"/>
        </w:rPr>
        <w:t xml:space="preserve"> or ‘sticky’</w:t>
      </w:r>
      <w:r w:rsidR="00247764">
        <w:rPr>
          <w:rFonts w:cstheme="minorHAnsi"/>
        </w:rPr>
        <w:t>,</w:t>
      </w:r>
      <w:r>
        <w:rPr>
          <w:rFonts w:cstheme="minorHAnsi"/>
        </w:rPr>
        <w:t xml:space="preserve"> </w:t>
      </w:r>
      <w:r w:rsidRPr="00A412A4">
        <w:rPr>
          <w:rFonts w:cstheme="minorHAnsi"/>
        </w:rPr>
        <w:t xml:space="preserve">qualities </w:t>
      </w:r>
      <w:r>
        <w:rPr>
          <w:rFonts w:cstheme="minorHAnsi"/>
        </w:rPr>
        <w:t xml:space="preserve">of artworks </w:t>
      </w:r>
      <w:r w:rsidRPr="00A412A4">
        <w:rPr>
          <w:rFonts w:cstheme="minorHAnsi"/>
        </w:rPr>
        <w:t>may be seen to link to our bodily and haptic understanding of the world.</w:t>
      </w:r>
      <w:r>
        <w:rPr>
          <w:rFonts w:cstheme="minorHAnsi"/>
        </w:rPr>
        <w:t xml:space="preserve"> </w:t>
      </w:r>
      <w:r w:rsidRPr="00D87DA1">
        <w:rPr>
          <w:rFonts w:cstheme="minorHAnsi"/>
        </w:rPr>
        <w:t>Th</w:t>
      </w:r>
      <w:r w:rsidRPr="00E55DF3">
        <w:rPr>
          <w:rFonts w:cstheme="minorHAnsi"/>
        </w:rPr>
        <w:t>is</w:t>
      </w:r>
      <w:r w:rsidRPr="00D87DA1">
        <w:rPr>
          <w:rFonts w:cstheme="minorHAnsi"/>
        </w:rPr>
        <w:t xml:space="preserve"> </w:t>
      </w:r>
      <w:r w:rsidRPr="00E55DF3">
        <w:rPr>
          <w:rFonts w:cstheme="minorHAnsi"/>
        </w:rPr>
        <w:t>discussion</w:t>
      </w:r>
      <w:r w:rsidRPr="00D87DA1">
        <w:rPr>
          <w:rFonts w:cstheme="minorHAnsi"/>
        </w:rPr>
        <w:t xml:space="preserve"> has implications for anyone undertaking practice-based </w:t>
      </w:r>
      <w:r>
        <w:rPr>
          <w:rFonts w:cstheme="minorHAnsi"/>
        </w:rPr>
        <w:t>research</w:t>
      </w:r>
      <w:r w:rsidRPr="00D87DA1">
        <w:rPr>
          <w:rFonts w:cstheme="minorHAnsi"/>
        </w:rPr>
        <w:t xml:space="preserve"> who wish</w:t>
      </w:r>
      <w:r w:rsidRPr="00E55DF3">
        <w:rPr>
          <w:rFonts w:cstheme="minorHAnsi"/>
        </w:rPr>
        <w:t>es</w:t>
      </w:r>
      <w:r w:rsidRPr="00D87DA1">
        <w:rPr>
          <w:rFonts w:cstheme="minorHAnsi"/>
        </w:rPr>
        <w:t xml:space="preserve"> to gain a deeper understanding of the theory-practice </w:t>
      </w:r>
      <w:r w:rsidRPr="00E55DF3">
        <w:rPr>
          <w:rFonts w:cstheme="minorHAnsi"/>
        </w:rPr>
        <w:t>dynamic</w:t>
      </w:r>
      <w:r w:rsidRPr="00D87DA1">
        <w:rPr>
          <w:rFonts w:cstheme="minorHAnsi"/>
        </w:rPr>
        <w:t xml:space="preserve"> </w:t>
      </w:r>
      <w:r w:rsidRPr="00E55DF3">
        <w:rPr>
          <w:rFonts w:cstheme="minorHAnsi"/>
        </w:rPr>
        <w:t>within it.</w:t>
      </w:r>
      <w:r>
        <w:rPr>
          <w:rFonts w:cstheme="minorHAnsi"/>
        </w:rPr>
        <w:t xml:space="preserve"> </w:t>
      </w:r>
    </w:p>
    <w:p w14:paraId="77D92167" w14:textId="77777777" w:rsidR="00EC65B9" w:rsidRPr="00195DBD" w:rsidRDefault="00EC65B9" w:rsidP="00621DB0">
      <w:pPr>
        <w:spacing w:after="0" w:line="240" w:lineRule="auto"/>
        <w:rPr>
          <w:rFonts w:cstheme="minorHAnsi"/>
        </w:rPr>
      </w:pPr>
    </w:p>
    <w:p w14:paraId="53797E34" w14:textId="232D8DEB" w:rsidR="00EC65B9" w:rsidRPr="00773D4E" w:rsidRDefault="003C15DF" w:rsidP="00621DB0">
      <w:pPr>
        <w:spacing w:after="0" w:line="240" w:lineRule="auto"/>
        <w:rPr>
          <w:rFonts w:cstheme="minorHAnsi"/>
          <w:b/>
        </w:rPr>
      </w:pPr>
      <w:r w:rsidRPr="00773D4E">
        <w:rPr>
          <w:rFonts w:cstheme="minorHAnsi"/>
          <w:b/>
          <w:i/>
        </w:rPr>
        <w:t>“Let’s Get Comfortable”</w:t>
      </w:r>
      <w:r>
        <w:rPr>
          <w:rFonts w:cstheme="minorHAnsi"/>
          <w:b/>
        </w:rPr>
        <w:t xml:space="preserve">: </w:t>
      </w:r>
      <w:r w:rsidR="00195DBD">
        <w:rPr>
          <w:rFonts w:cstheme="minorHAnsi"/>
          <w:b/>
        </w:rPr>
        <w:t>A</w:t>
      </w:r>
      <w:r>
        <w:rPr>
          <w:rFonts w:cstheme="minorHAnsi"/>
          <w:b/>
        </w:rPr>
        <w:t xml:space="preserve"> </w:t>
      </w:r>
      <w:r w:rsidR="00195DBD">
        <w:rPr>
          <w:rFonts w:cstheme="minorHAnsi"/>
          <w:b/>
        </w:rPr>
        <w:t>C</w:t>
      </w:r>
      <w:r>
        <w:rPr>
          <w:rFonts w:cstheme="minorHAnsi"/>
          <w:b/>
        </w:rPr>
        <w:t xml:space="preserve">ase </w:t>
      </w:r>
      <w:r w:rsidR="00195DBD">
        <w:rPr>
          <w:rFonts w:cstheme="minorHAnsi"/>
          <w:b/>
        </w:rPr>
        <w:t>S</w:t>
      </w:r>
      <w:r>
        <w:rPr>
          <w:rFonts w:cstheme="minorHAnsi"/>
          <w:b/>
        </w:rPr>
        <w:t>tudy</w:t>
      </w:r>
      <w:r w:rsidR="00EC65B9">
        <w:rPr>
          <w:rFonts w:cstheme="minorHAnsi"/>
          <w:b/>
        </w:rPr>
        <w:t xml:space="preserve"> </w:t>
      </w:r>
    </w:p>
    <w:p w14:paraId="76D599CD" w14:textId="3B2DE158" w:rsidR="00621DB0" w:rsidRPr="00A412A4" w:rsidRDefault="00ED2FF2" w:rsidP="00621DB0">
      <w:pPr>
        <w:spacing w:after="0" w:line="240" w:lineRule="auto"/>
        <w:rPr>
          <w:rFonts w:eastAsiaTheme="minorEastAsia" w:cstheme="minorHAnsi"/>
          <w:lang w:eastAsia="en-GB"/>
        </w:rPr>
      </w:pPr>
      <w:r w:rsidRPr="00A412A4">
        <w:rPr>
          <w:rFonts w:cstheme="minorHAnsi"/>
        </w:rPr>
        <w:t xml:space="preserve">My </w:t>
      </w:r>
      <w:r w:rsidR="00451D0B" w:rsidRPr="00A412A4">
        <w:rPr>
          <w:rFonts w:cstheme="minorHAnsi"/>
        </w:rPr>
        <w:t>Ph.D.</w:t>
      </w:r>
      <w:r w:rsidR="00621DB0" w:rsidRPr="00A412A4">
        <w:rPr>
          <w:rFonts w:cstheme="minorHAnsi"/>
        </w:rPr>
        <w:t xml:space="preserve"> proposed that site-related artworks could provide a critical lens for the examination of hierarchy and status in the workplace through their employment of decoration, ornamentation and pattern. Bespoke artworks were placed within three work-related sites - an office reception area, an industrial laundry and a series of identical office chairs within an art gallery exhibition – to test the </w:t>
      </w:r>
      <w:proofErr w:type="gramStart"/>
      <w:r w:rsidR="00621DB0" w:rsidRPr="00A412A4">
        <w:rPr>
          <w:rFonts w:cstheme="minorHAnsi"/>
        </w:rPr>
        <w:t>extent</w:t>
      </w:r>
      <w:proofErr w:type="gramEnd"/>
      <w:r w:rsidR="00621DB0" w:rsidRPr="00A412A4">
        <w:rPr>
          <w:rFonts w:cstheme="minorHAnsi"/>
        </w:rPr>
        <w:t xml:space="preserve"> to which decorative qualities could highlight, challenge and to some extent ameliorate, physical and </w:t>
      </w:r>
      <w:proofErr w:type="spellStart"/>
      <w:r w:rsidR="00621DB0" w:rsidRPr="00A412A4">
        <w:rPr>
          <w:rFonts w:cstheme="minorHAnsi"/>
        </w:rPr>
        <w:t>semiological</w:t>
      </w:r>
      <w:proofErr w:type="spellEnd"/>
      <w:r w:rsidR="00621DB0" w:rsidRPr="00A412A4">
        <w:rPr>
          <w:rFonts w:cstheme="minorHAnsi"/>
        </w:rPr>
        <w:t xml:space="preserve"> signs of status, hierarchy and alienation. This </w:t>
      </w:r>
      <w:r w:rsidR="00514716">
        <w:rPr>
          <w:rFonts w:cstheme="minorHAnsi"/>
        </w:rPr>
        <w:t>article</w:t>
      </w:r>
      <w:r w:rsidR="00195DBD">
        <w:rPr>
          <w:rFonts w:cstheme="minorHAnsi"/>
        </w:rPr>
        <w:t xml:space="preserve"> </w:t>
      </w:r>
      <w:r w:rsidR="00621DB0" w:rsidRPr="00A412A4">
        <w:rPr>
          <w:rFonts w:cstheme="minorHAnsi"/>
        </w:rPr>
        <w:t>focus</w:t>
      </w:r>
      <w:r w:rsidR="00195DBD">
        <w:rPr>
          <w:rFonts w:cstheme="minorHAnsi"/>
        </w:rPr>
        <w:t>es</w:t>
      </w:r>
      <w:r w:rsidR="00621DB0" w:rsidRPr="00A412A4">
        <w:rPr>
          <w:rFonts w:cstheme="minorHAnsi"/>
        </w:rPr>
        <w:t xml:space="preserve"> on one </w:t>
      </w:r>
      <w:r w:rsidR="00590043" w:rsidRPr="00A412A4">
        <w:rPr>
          <w:rFonts w:cstheme="minorHAnsi"/>
        </w:rPr>
        <w:t xml:space="preserve">set of these </w:t>
      </w:r>
      <w:r w:rsidR="00621DB0" w:rsidRPr="00A412A4">
        <w:rPr>
          <w:rFonts w:cstheme="minorHAnsi"/>
        </w:rPr>
        <w:t xml:space="preserve">outcomes: five sculptures placed in Aviva’s Head Office in St. Helen’s, </w:t>
      </w:r>
      <w:r w:rsidRPr="00A412A4">
        <w:rPr>
          <w:rFonts w:cstheme="minorHAnsi"/>
        </w:rPr>
        <w:t xml:space="preserve">London, </w:t>
      </w:r>
      <w:proofErr w:type="gramStart"/>
      <w:r w:rsidR="00621DB0" w:rsidRPr="00A412A4">
        <w:rPr>
          <w:rFonts w:cstheme="minorHAnsi"/>
        </w:rPr>
        <w:t>collectively</w:t>
      </w:r>
      <w:proofErr w:type="gramEnd"/>
      <w:r w:rsidR="00621DB0" w:rsidRPr="00A412A4">
        <w:rPr>
          <w:rFonts w:cstheme="minorHAnsi"/>
        </w:rPr>
        <w:t xml:space="preserve"> entitled </w:t>
      </w:r>
      <w:r w:rsidR="00621DB0" w:rsidRPr="00A412A4">
        <w:rPr>
          <w:rFonts w:cstheme="minorHAnsi"/>
          <w:i/>
        </w:rPr>
        <w:t>“Let’s Get Comfortable”</w:t>
      </w:r>
      <w:r w:rsidRPr="00A412A4">
        <w:rPr>
          <w:rFonts w:cstheme="minorHAnsi"/>
          <w:i/>
        </w:rPr>
        <w:t xml:space="preserve"> </w:t>
      </w:r>
      <w:r w:rsidRPr="00A412A4">
        <w:rPr>
          <w:rFonts w:cstheme="minorHAnsi"/>
        </w:rPr>
        <w:t>(Figure 1)</w:t>
      </w:r>
      <w:r w:rsidR="00621DB0" w:rsidRPr="00A412A4">
        <w:rPr>
          <w:rFonts w:cstheme="minorHAnsi"/>
        </w:rPr>
        <w:t xml:space="preserve">. </w:t>
      </w:r>
    </w:p>
    <w:p w14:paraId="7B7A55EA" w14:textId="77777777" w:rsidR="00621DB0" w:rsidRPr="00A412A4" w:rsidRDefault="00621DB0" w:rsidP="00621DB0">
      <w:pPr>
        <w:spacing w:after="0" w:line="240" w:lineRule="auto"/>
        <w:rPr>
          <w:rFonts w:eastAsiaTheme="minorEastAsia" w:cstheme="minorHAnsi"/>
          <w:b/>
          <w:lang w:eastAsia="en-GB"/>
        </w:rPr>
      </w:pPr>
    </w:p>
    <w:p w14:paraId="0E17B3B1" w14:textId="77777777" w:rsidR="00E55037" w:rsidRDefault="00E55037" w:rsidP="00621DB0">
      <w:pPr>
        <w:spacing w:after="0" w:line="240" w:lineRule="auto"/>
        <w:jc w:val="center"/>
        <w:rPr>
          <w:rFonts w:cstheme="minorHAnsi"/>
          <w:noProof/>
          <w:lang w:eastAsia="en-GB"/>
        </w:rPr>
      </w:pPr>
    </w:p>
    <w:p w14:paraId="439D7B2C" w14:textId="77777777" w:rsidR="00EC65B9" w:rsidRDefault="00EC65B9" w:rsidP="00621DB0">
      <w:pPr>
        <w:spacing w:after="0" w:line="240" w:lineRule="auto"/>
        <w:jc w:val="center"/>
        <w:rPr>
          <w:rFonts w:cstheme="minorHAnsi"/>
          <w:noProof/>
          <w:lang w:eastAsia="en-GB"/>
        </w:rPr>
      </w:pPr>
    </w:p>
    <w:p w14:paraId="1F3EE95F" w14:textId="15D88BFA" w:rsidR="00621DB0" w:rsidRPr="00A412A4" w:rsidRDefault="006A55D9" w:rsidP="00621DB0">
      <w:pPr>
        <w:spacing w:after="0" w:line="240" w:lineRule="auto"/>
        <w:jc w:val="center"/>
        <w:rPr>
          <w:rFonts w:eastAsiaTheme="minorEastAsia" w:cstheme="minorHAnsi"/>
          <w:lang w:eastAsia="en-GB"/>
        </w:rPr>
      </w:pPr>
      <w:r w:rsidRPr="006A55D9">
        <w:t xml:space="preserve"> </w:t>
      </w:r>
      <w:r>
        <w:rPr>
          <w:noProof/>
          <w:lang w:eastAsia="en-GB"/>
        </w:rPr>
        <w:drawing>
          <wp:inline distT="0" distB="0" distL="0" distR="0" wp14:anchorId="2FD891B2" wp14:editId="62BEA220">
            <wp:extent cx="5727700" cy="4124325"/>
            <wp:effectExtent l="0" t="0" r="635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27700" cy="4124325"/>
                    </a:xfrm>
                    <a:prstGeom prst="rect">
                      <a:avLst/>
                    </a:prstGeom>
                    <a:noFill/>
                    <a:ln>
                      <a:noFill/>
                    </a:ln>
                  </pic:spPr>
                </pic:pic>
              </a:graphicData>
            </a:graphic>
          </wp:inline>
        </w:drawing>
      </w:r>
    </w:p>
    <w:p w14:paraId="4B8BA2A0" w14:textId="77777777" w:rsidR="00621DB0" w:rsidRPr="00A412A4" w:rsidRDefault="00621DB0" w:rsidP="00621DB0">
      <w:pPr>
        <w:spacing w:after="0" w:line="240" w:lineRule="auto"/>
        <w:jc w:val="center"/>
        <w:rPr>
          <w:rFonts w:eastAsiaTheme="minorEastAsia" w:cstheme="minorHAnsi"/>
          <w:lang w:eastAsia="en-GB"/>
        </w:rPr>
      </w:pPr>
    </w:p>
    <w:p w14:paraId="46EAA80B" w14:textId="75EE99EC" w:rsidR="00621DB0" w:rsidRPr="00773D4E" w:rsidRDefault="00621DB0" w:rsidP="00CF71CB">
      <w:pPr>
        <w:spacing w:after="0" w:line="240" w:lineRule="auto"/>
        <w:rPr>
          <w:rFonts w:eastAsiaTheme="minorEastAsia" w:cstheme="minorHAnsi"/>
          <w:lang w:eastAsia="en-GB"/>
        </w:rPr>
      </w:pPr>
      <w:r w:rsidRPr="00773D4E">
        <w:rPr>
          <w:rFonts w:eastAsiaTheme="minorEastAsia" w:cstheme="minorHAnsi"/>
          <w:noProof/>
          <w:lang w:eastAsia="en-GB"/>
        </w:rPr>
        <w:t xml:space="preserve">Figure 1: </w:t>
      </w:r>
      <w:r w:rsidR="00CF23A5" w:rsidRPr="00773D4E">
        <w:rPr>
          <w:rFonts w:eastAsiaTheme="minorEastAsia" w:cstheme="minorHAnsi"/>
          <w:noProof/>
          <w:lang w:eastAsia="en-GB"/>
        </w:rPr>
        <w:t xml:space="preserve">Sarah Horton. </w:t>
      </w:r>
      <w:r w:rsidRPr="00773D4E">
        <w:rPr>
          <w:rFonts w:eastAsiaTheme="minorEastAsia" w:cstheme="minorHAnsi"/>
          <w:noProof/>
          <w:lang w:eastAsia="en-GB"/>
        </w:rPr>
        <w:t>Installation of “</w:t>
      </w:r>
      <w:r w:rsidRPr="00773D4E">
        <w:rPr>
          <w:rFonts w:eastAsiaTheme="minorEastAsia" w:cstheme="minorHAnsi"/>
          <w:i/>
          <w:noProof/>
          <w:lang w:eastAsia="en-GB"/>
        </w:rPr>
        <w:t>Let’s get comfortable</w:t>
      </w:r>
      <w:r w:rsidRPr="00773D4E">
        <w:rPr>
          <w:rFonts w:eastAsiaTheme="minorEastAsia" w:cstheme="minorHAnsi"/>
          <w:noProof/>
          <w:lang w:eastAsia="en-GB"/>
        </w:rPr>
        <w:t xml:space="preserve">” in Aviva’s Head Office, St. Helen’s, London, 2013. </w:t>
      </w:r>
      <w:r w:rsidRPr="00773D4E">
        <w:rPr>
          <w:rFonts w:eastAsiaTheme="minorEastAsia" w:cstheme="minorHAnsi"/>
          <w:lang w:eastAsia="en-GB"/>
        </w:rPr>
        <w:t xml:space="preserve">Five sculptures each made of fabric, cord, cord stoppers, </w:t>
      </w:r>
      <w:proofErr w:type="spellStart"/>
      <w:r w:rsidRPr="00773D4E">
        <w:rPr>
          <w:rFonts w:eastAsiaTheme="minorEastAsia" w:cstheme="minorHAnsi"/>
          <w:lang w:eastAsia="en-GB"/>
        </w:rPr>
        <w:t>hollowfibre</w:t>
      </w:r>
      <w:proofErr w:type="spellEnd"/>
      <w:r w:rsidRPr="00773D4E">
        <w:rPr>
          <w:rFonts w:eastAsiaTheme="minorEastAsia" w:cstheme="minorHAnsi"/>
          <w:lang w:eastAsia="en-GB"/>
        </w:rPr>
        <w:t xml:space="preserve"> filling and additional </w:t>
      </w:r>
      <w:r w:rsidR="00CF71CB" w:rsidRPr="00773D4E">
        <w:rPr>
          <w:rFonts w:eastAsiaTheme="minorEastAsia" w:cstheme="minorHAnsi"/>
          <w:lang w:eastAsia="en-GB"/>
        </w:rPr>
        <w:t>e</w:t>
      </w:r>
      <w:r w:rsidRPr="00773D4E">
        <w:rPr>
          <w:rFonts w:eastAsiaTheme="minorEastAsia" w:cstheme="minorHAnsi"/>
          <w:lang w:eastAsia="en-GB"/>
        </w:rPr>
        <w:t xml:space="preserve">mbellishments, placed on and around the furniture in various configurations. Each piece is approx. 140cm long x 23cm depth x 23cm height. </w:t>
      </w:r>
      <w:r w:rsidR="00B12CDA" w:rsidRPr="00773D4E">
        <w:rPr>
          <w:rFonts w:eastAsiaTheme="minorEastAsia" w:cstheme="minorHAnsi"/>
          <w:lang w:eastAsia="en-GB"/>
        </w:rPr>
        <w:t xml:space="preserve">© </w:t>
      </w:r>
      <w:r w:rsidR="00C66742" w:rsidRPr="00773D4E">
        <w:rPr>
          <w:rFonts w:eastAsiaTheme="minorEastAsia" w:cstheme="minorHAnsi"/>
          <w:lang w:eastAsia="en-GB"/>
        </w:rPr>
        <w:t>Horton 2013.</w:t>
      </w:r>
    </w:p>
    <w:p w14:paraId="333D989F" w14:textId="7EB95BCC" w:rsidR="00621DB0" w:rsidRDefault="00621DB0" w:rsidP="00621DB0">
      <w:pPr>
        <w:spacing w:after="0" w:line="240" w:lineRule="auto"/>
        <w:rPr>
          <w:rFonts w:cstheme="minorHAnsi"/>
        </w:rPr>
      </w:pPr>
    </w:p>
    <w:p w14:paraId="02EDD882" w14:textId="5E7DE5C0" w:rsidR="00E55037" w:rsidRPr="004E22A9" w:rsidRDefault="00E55037" w:rsidP="00E55037">
      <w:pPr>
        <w:spacing w:after="0" w:line="240" w:lineRule="auto"/>
        <w:rPr>
          <w:rFonts w:cstheme="minorHAnsi"/>
        </w:rPr>
      </w:pPr>
      <w:proofErr w:type="spellStart"/>
      <w:r w:rsidRPr="004E22A9">
        <w:rPr>
          <w:rFonts w:cstheme="minorHAnsi"/>
          <w:iCs/>
          <w:shd w:val="clear" w:color="auto" w:fill="FFFFFF"/>
        </w:rPr>
        <w:t>Maharaj</w:t>
      </w:r>
      <w:proofErr w:type="spellEnd"/>
      <w:r w:rsidRPr="004E22A9">
        <w:rPr>
          <w:rFonts w:cstheme="minorHAnsi"/>
          <w:iCs/>
          <w:shd w:val="clear" w:color="auto" w:fill="FFFFFF"/>
        </w:rPr>
        <w:t xml:space="preserve"> suggests that the ‘non-linguistic’ aspects existing in artworks are akin to non-verbal clues in communication and that both linguistic and para-linguistic clues are useful to understanding</w:t>
      </w:r>
      <w:r w:rsidR="00195DBD">
        <w:rPr>
          <w:rFonts w:cstheme="minorHAnsi"/>
          <w:iCs/>
          <w:shd w:val="clear" w:color="auto" w:fill="FFFFFF"/>
        </w:rPr>
        <w:t xml:space="preserve"> them</w:t>
      </w:r>
      <w:r w:rsidRPr="004E22A9">
        <w:rPr>
          <w:rFonts w:cstheme="minorHAnsi"/>
          <w:iCs/>
          <w:shd w:val="clear" w:color="auto" w:fill="FFFFFF"/>
        </w:rPr>
        <w:t xml:space="preserve">. </w:t>
      </w:r>
      <w:r w:rsidRPr="004E22A9">
        <w:rPr>
          <w:rFonts w:cstheme="minorHAnsi"/>
        </w:rPr>
        <w:t>He argues that alongside the textual element of any work</w:t>
      </w:r>
    </w:p>
    <w:p w14:paraId="7997AB58" w14:textId="77777777" w:rsidR="00E55037" w:rsidRPr="004E22A9" w:rsidRDefault="00E55037" w:rsidP="00E55037">
      <w:pPr>
        <w:spacing w:after="0" w:line="240" w:lineRule="auto"/>
        <w:rPr>
          <w:rFonts w:cstheme="minorHAnsi"/>
        </w:rPr>
      </w:pPr>
    </w:p>
    <w:p w14:paraId="4A95510C" w14:textId="77777777" w:rsidR="00E55037" w:rsidRPr="004E22A9" w:rsidRDefault="00E55037" w:rsidP="00E55037">
      <w:pPr>
        <w:spacing w:after="0" w:line="240" w:lineRule="auto"/>
        <w:ind w:left="851"/>
        <w:rPr>
          <w:rFonts w:cstheme="minorHAnsi"/>
        </w:rPr>
      </w:pPr>
      <w:proofErr w:type="gramStart"/>
      <w:r w:rsidRPr="004E22A9">
        <w:rPr>
          <w:rFonts w:cstheme="minorHAnsi"/>
        </w:rPr>
        <w:t>runs</w:t>
      </w:r>
      <w:proofErr w:type="gramEnd"/>
      <w:r w:rsidRPr="004E22A9">
        <w:rPr>
          <w:rFonts w:cstheme="minorHAnsi"/>
        </w:rPr>
        <w:t xml:space="preserve"> its intensive non-discursive register, its seething para-discursive charge and capability – both its “</w:t>
      </w:r>
      <w:proofErr w:type="spellStart"/>
      <w:r w:rsidRPr="004E22A9">
        <w:rPr>
          <w:rFonts w:cstheme="minorHAnsi"/>
        </w:rPr>
        <w:t>pathic</w:t>
      </w:r>
      <w:proofErr w:type="spellEnd"/>
      <w:r w:rsidRPr="004E22A9">
        <w:rPr>
          <w:rFonts w:cstheme="minorHAnsi"/>
        </w:rPr>
        <w:t xml:space="preserve">” and “phatic” force, its penumbra of the non-verbal, its somatic scope, its smoky atmospherics, its performative range. </w:t>
      </w:r>
    </w:p>
    <w:p w14:paraId="5D531080" w14:textId="77777777" w:rsidR="00E55037" w:rsidRPr="004E22A9" w:rsidRDefault="00E55037" w:rsidP="00E55037">
      <w:pPr>
        <w:spacing w:after="0" w:line="240" w:lineRule="auto"/>
        <w:ind w:left="851"/>
        <w:rPr>
          <w:rFonts w:cstheme="minorHAnsi"/>
        </w:rPr>
      </w:pPr>
      <w:r w:rsidRPr="004E22A9">
        <w:rPr>
          <w:rFonts w:cstheme="minorHAnsi"/>
        </w:rPr>
        <w:t>(</w:t>
      </w:r>
      <w:proofErr w:type="spellStart"/>
      <w:r w:rsidRPr="004E22A9">
        <w:rPr>
          <w:rFonts w:cstheme="minorHAnsi"/>
        </w:rPr>
        <w:t>Maharaj</w:t>
      </w:r>
      <w:proofErr w:type="spellEnd"/>
      <w:r w:rsidRPr="004E22A9">
        <w:rPr>
          <w:rFonts w:cstheme="minorHAnsi"/>
        </w:rPr>
        <w:t xml:space="preserve"> 2009)</w:t>
      </w:r>
      <w:r>
        <w:rPr>
          <w:rFonts w:cstheme="minorHAnsi"/>
        </w:rPr>
        <w:t>.</w:t>
      </w:r>
    </w:p>
    <w:p w14:paraId="6D73C0E0" w14:textId="524211D7" w:rsidR="00BC7634" w:rsidRDefault="00BC7634" w:rsidP="00621DB0">
      <w:pPr>
        <w:spacing w:after="0" w:line="240" w:lineRule="auto"/>
        <w:rPr>
          <w:rFonts w:cstheme="minorHAnsi"/>
        </w:rPr>
      </w:pPr>
    </w:p>
    <w:p w14:paraId="38B8E21C" w14:textId="1171B523" w:rsidR="00BC7634" w:rsidRPr="004E22A9" w:rsidRDefault="00BC7634" w:rsidP="00BC7634">
      <w:pPr>
        <w:spacing w:after="0" w:line="240" w:lineRule="auto"/>
        <w:rPr>
          <w:rFonts w:cstheme="minorHAnsi"/>
          <w:strike/>
        </w:rPr>
      </w:pPr>
      <w:r w:rsidRPr="004E22A9">
        <w:rPr>
          <w:rFonts w:cstheme="minorHAnsi"/>
        </w:rPr>
        <w:t xml:space="preserve">The </w:t>
      </w:r>
      <w:proofErr w:type="spellStart"/>
      <w:r w:rsidRPr="004E22A9">
        <w:rPr>
          <w:rFonts w:cstheme="minorHAnsi"/>
        </w:rPr>
        <w:t>pathic</w:t>
      </w:r>
      <w:proofErr w:type="spellEnd"/>
      <w:r w:rsidRPr="004E22A9">
        <w:rPr>
          <w:rFonts w:cstheme="minorHAnsi"/>
        </w:rPr>
        <w:t xml:space="preserve"> and phatic forces referred to by </w:t>
      </w:r>
      <w:proofErr w:type="spellStart"/>
      <w:r w:rsidRPr="004E22A9">
        <w:rPr>
          <w:rFonts w:cstheme="minorHAnsi"/>
        </w:rPr>
        <w:t>Maharaj</w:t>
      </w:r>
      <w:proofErr w:type="spellEnd"/>
      <w:r w:rsidRPr="004E22A9">
        <w:rPr>
          <w:rFonts w:cstheme="minorHAnsi"/>
        </w:rPr>
        <w:t xml:space="preserve"> are the physical impressions experienced and implied through the work’s appearance. The penumbra of the </w:t>
      </w:r>
      <w:r w:rsidR="00D31494">
        <w:rPr>
          <w:rFonts w:cstheme="minorHAnsi"/>
        </w:rPr>
        <w:t>non-</w:t>
      </w:r>
      <w:r w:rsidRPr="004E22A9">
        <w:rPr>
          <w:rFonts w:cstheme="minorHAnsi"/>
        </w:rPr>
        <w:t xml:space="preserve">verbal is that which is difficult to put into words because it refers to experiences that are understood through the visual, tactile or somatic impression that is conveyed by the work. Each of the theoretical constructs within my Ph.D. were performed (to use </w:t>
      </w:r>
      <w:proofErr w:type="spellStart"/>
      <w:r w:rsidRPr="004E22A9">
        <w:rPr>
          <w:rFonts w:cstheme="minorHAnsi"/>
        </w:rPr>
        <w:t>Maharaj’s</w:t>
      </w:r>
      <w:proofErr w:type="spellEnd"/>
      <w:r w:rsidRPr="004E22A9">
        <w:rPr>
          <w:rFonts w:cstheme="minorHAnsi"/>
        </w:rPr>
        <w:t xml:space="preserve"> </w:t>
      </w:r>
      <w:r w:rsidR="00D31494">
        <w:rPr>
          <w:rFonts w:cstheme="minorHAnsi"/>
        </w:rPr>
        <w:t>term</w:t>
      </w:r>
      <w:r w:rsidRPr="004E22A9">
        <w:rPr>
          <w:rFonts w:cstheme="minorHAnsi"/>
        </w:rPr>
        <w:t xml:space="preserve">) via the visual, physical and tactile properties of the works, and mediated further by their context at Aviva. For example, the </w:t>
      </w:r>
      <w:proofErr w:type="spellStart"/>
      <w:r w:rsidRPr="004E22A9">
        <w:rPr>
          <w:rFonts w:cstheme="minorHAnsi"/>
        </w:rPr>
        <w:t>cordstoppers</w:t>
      </w:r>
      <w:proofErr w:type="spellEnd"/>
      <w:r w:rsidRPr="004E22A9">
        <w:rPr>
          <w:rFonts w:cstheme="minorHAnsi"/>
        </w:rPr>
        <w:t xml:space="preserve"> in </w:t>
      </w:r>
      <w:r w:rsidRPr="004E22A9">
        <w:rPr>
          <w:rFonts w:cstheme="minorHAnsi"/>
          <w:i/>
        </w:rPr>
        <w:t>“Let’s get comfortable”</w:t>
      </w:r>
      <w:r w:rsidRPr="004E22A9">
        <w:rPr>
          <w:rFonts w:cstheme="minorHAnsi"/>
        </w:rPr>
        <w:t xml:space="preserve"> suggest that these artworks can be manipulated and played with; we can look at the fabrics and imagine how </w:t>
      </w:r>
      <w:r w:rsidRPr="004E22A9">
        <w:rPr>
          <w:rFonts w:cstheme="minorHAnsi"/>
        </w:rPr>
        <w:lastRenderedPageBreak/>
        <w:t xml:space="preserve">they feel in contrast to the leather of Aviva’s sofas and the hard, cold feel of the marble floor; and, thirdly, the shape of each piece is curved, as if to suggest they might mould comfortably around the back of the sitter. Although these aspects can be described in words, the written descriptions bear only a slight approximation to the experience of seeing them in situ. </w:t>
      </w:r>
    </w:p>
    <w:p w14:paraId="27C71F58" w14:textId="77777777" w:rsidR="00BC7634" w:rsidRPr="004E22A9" w:rsidRDefault="00BC7634" w:rsidP="00BC7634">
      <w:pPr>
        <w:spacing w:after="0" w:line="240" w:lineRule="auto"/>
        <w:rPr>
          <w:rFonts w:cstheme="minorHAnsi"/>
          <w:strike/>
        </w:rPr>
      </w:pPr>
    </w:p>
    <w:p w14:paraId="1D0A3E46" w14:textId="308F6960" w:rsidR="00BC7634" w:rsidRPr="004E22A9" w:rsidRDefault="00BC7634" w:rsidP="00BC7634">
      <w:pPr>
        <w:spacing w:after="0" w:line="240" w:lineRule="auto"/>
        <w:rPr>
          <w:rFonts w:cstheme="minorHAnsi"/>
        </w:rPr>
      </w:pPr>
      <w:r w:rsidRPr="004E22A9">
        <w:rPr>
          <w:rFonts w:eastAsiaTheme="minorEastAsia" w:cstheme="minorHAnsi"/>
          <w:lang w:eastAsia="en-GB"/>
        </w:rPr>
        <w:t xml:space="preserve">The implications provided through the setting of Aviva, a global company and one of the largest providers of insurance in the United Kingdom, creates a further set of inferences for these sculptures. The use of art interventions is advocated by </w:t>
      </w:r>
      <w:r w:rsidR="007A0CB9">
        <w:rPr>
          <w:rFonts w:eastAsiaTheme="minorEastAsia" w:cstheme="minorHAnsi"/>
          <w:lang w:eastAsia="en-GB"/>
        </w:rPr>
        <w:t xml:space="preserve">Malcolm </w:t>
      </w:r>
      <w:r w:rsidRPr="004E22A9">
        <w:rPr>
          <w:rFonts w:eastAsiaTheme="minorEastAsia" w:cstheme="minorHAnsi"/>
          <w:lang w:eastAsia="en-GB"/>
        </w:rPr>
        <w:t xml:space="preserve">Miles as a way of making narratives visible, ‘thereby aiding a political process; or to open a space for conversation where such possibilities are generally closed, in a society in which social institutions and market forces tend towards various forms of repression’ (Miles 2000: 199). Here perhaps, as well as the ‘conversation’ that is taking place between the physical characteristics of the artworks and their surroundings, a different form of ‘text’ or </w:t>
      </w:r>
      <w:proofErr w:type="spellStart"/>
      <w:r w:rsidRPr="004E22A9">
        <w:rPr>
          <w:rFonts w:eastAsiaTheme="minorEastAsia" w:cstheme="minorHAnsi"/>
          <w:lang w:eastAsia="en-GB"/>
        </w:rPr>
        <w:t>discursivity</w:t>
      </w:r>
      <w:proofErr w:type="spellEnd"/>
      <w:r w:rsidRPr="004E22A9">
        <w:rPr>
          <w:rFonts w:eastAsiaTheme="minorEastAsia" w:cstheme="minorHAnsi"/>
          <w:lang w:eastAsia="en-GB"/>
        </w:rPr>
        <w:t xml:space="preserve"> may occur, a p</w:t>
      </w:r>
      <w:r w:rsidRPr="004E22A9">
        <w:rPr>
          <w:rFonts w:cstheme="minorHAnsi"/>
        </w:rPr>
        <w:t>rompting of new discussions. The Aviva project combines a recognition of the space as a symbol of power or capital, a network of ‘voices’ that includes employees and visitors to the site and prevailing modes of criticality around art, design, labour and leisure.</w:t>
      </w:r>
    </w:p>
    <w:p w14:paraId="2D03CBF6" w14:textId="524DA45C" w:rsidR="00BC7634" w:rsidRDefault="00BC7634" w:rsidP="00BC7634">
      <w:pPr>
        <w:spacing w:after="0" w:line="240" w:lineRule="auto"/>
        <w:rPr>
          <w:rFonts w:cstheme="minorHAnsi"/>
          <w:strike/>
        </w:rPr>
      </w:pPr>
    </w:p>
    <w:p w14:paraId="35AF2F20" w14:textId="77777777" w:rsidR="00D31494" w:rsidRPr="004E22A9" w:rsidRDefault="00D31494" w:rsidP="00D31494">
      <w:pPr>
        <w:spacing w:after="0" w:line="240" w:lineRule="auto"/>
        <w:rPr>
          <w:rFonts w:cstheme="minorHAnsi"/>
          <w:b/>
        </w:rPr>
      </w:pPr>
      <w:r w:rsidRPr="004E22A9">
        <w:rPr>
          <w:rFonts w:cstheme="minorHAnsi"/>
          <w:b/>
        </w:rPr>
        <w:t>Habitus</w:t>
      </w:r>
    </w:p>
    <w:p w14:paraId="1CAFA2D0" w14:textId="65F7E289" w:rsidR="00D31494" w:rsidRPr="00413BFF" w:rsidRDefault="00D31494" w:rsidP="00D31494">
      <w:pPr>
        <w:spacing w:after="0" w:line="240" w:lineRule="auto"/>
        <w:rPr>
          <w:rFonts w:eastAsiaTheme="minorEastAsia" w:cstheme="minorHAnsi"/>
          <w:strike/>
          <w:lang w:eastAsia="en-GB"/>
        </w:rPr>
      </w:pPr>
      <w:r w:rsidRPr="004E22A9">
        <w:rPr>
          <w:rFonts w:eastAsiaTheme="minorEastAsia" w:cstheme="minorHAnsi"/>
          <w:lang w:eastAsia="en-GB"/>
        </w:rPr>
        <w:t xml:space="preserve">One of the main critical constructs used in relation to the practice </w:t>
      </w:r>
      <w:r>
        <w:rPr>
          <w:rFonts w:eastAsiaTheme="minorEastAsia" w:cstheme="minorHAnsi"/>
          <w:lang w:eastAsia="en-GB"/>
        </w:rPr>
        <w:t xml:space="preserve">here </w:t>
      </w:r>
      <w:r w:rsidRPr="004E22A9">
        <w:rPr>
          <w:rFonts w:eastAsiaTheme="minorEastAsia" w:cstheme="minorHAnsi"/>
          <w:lang w:eastAsia="en-GB"/>
        </w:rPr>
        <w:t xml:space="preserve">was </w:t>
      </w:r>
      <w:r w:rsidR="00241AF1">
        <w:rPr>
          <w:rFonts w:eastAsiaTheme="minorEastAsia" w:cstheme="minorHAnsi"/>
          <w:lang w:eastAsia="en-GB"/>
        </w:rPr>
        <w:t xml:space="preserve">Pierre </w:t>
      </w:r>
      <w:r w:rsidRPr="004E22A9">
        <w:rPr>
          <w:rFonts w:eastAsiaTheme="minorEastAsia" w:cstheme="minorHAnsi"/>
          <w:lang w:eastAsia="en-GB"/>
        </w:rPr>
        <w:t xml:space="preserve">Bourdieu’s concept of ‘habitus’ (Bourdieu 1979). Bourdieu uses the term habitus to describe an individual’s predispositions and demonstrates how these can position someone, and simultaneously also be shaped by, a person’s class. </w:t>
      </w:r>
    </w:p>
    <w:p w14:paraId="1905C448" w14:textId="77777777" w:rsidR="00D31494" w:rsidRPr="004E22A9" w:rsidRDefault="00D31494" w:rsidP="00D31494">
      <w:pPr>
        <w:spacing w:after="0" w:line="240" w:lineRule="auto"/>
        <w:rPr>
          <w:rFonts w:eastAsiaTheme="minorEastAsia" w:cstheme="minorHAnsi"/>
          <w:lang w:eastAsia="en-GB"/>
        </w:rPr>
      </w:pPr>
    </w:p>
    <w:p w14:paraId="0D47B2E9" w14:textId="3AA0DD32" w:rsidR="00D31494" w:rsidRPr="004E22A9" w:rsidRDefault="00D31494" w:rsidP="00D31494">
      <w:pPr>
        <w:spacing w:after="0" w:line="240" w:lineRule="auto"/>
        <w:rPr>
          <w:rFonts w:cstheme="minorHAnsi"/>
          <w:strike/>
        </w:rPr>
      </w:pPr>
      <w:r w:rsidRPr="004E22A9">
        <w:rPr>
          <w:rFonts w:eastAsiaTheme="minorEastAsia" w:cstheme="minorHAnsi"/>
          <w:lang w:eastAsia="en-GB"/>
        </w:rPr>
        <w:t xml:space="preserve">The habitus functions not only at the level of a person’s conscious opinions and choices but at a deeper, less conscious, embodied level, that is, relating very directly to the body and the practices of the individual that pertain to physical taste, accent, posture, and so on. </w:t>
      </w:r>
      <w:r w:rsidRPr="004E22A9">
        <w:rPr>
          <w:rFonts w:cstheme="minorHAnsi"/>
        </w:rPr>
        <w:t xml:space="preserve">The idea that the habitus functions at an </w:t>
      </w:r>
      <w:r w:rsidRPr="004E22A9">
        <w:rPr>
          <w:rFonts w:cstheme="minorHAnsi"/>
          <w:i/>
        </w:rPr>
        <w:t>embodied</w:t>
      </w:r>
      <w:r w:rsidRPr="004E22A9">
        <w:rPr>
          <w:rFonts w:cstheme="minorHAnsi"/>
        </w:rPr>
        <w:t xml:space="preserve"> level</w:t>
      </w:r>
      <w:r>
        <w:rPr>
          <w:rFonts w:cstheme="minorHAnsi"/>
        </w:rPr>
        <w:t xml:space="preserve"> </w:t>
      </w:r>
      <w:r w:rsidRPr="004E22A9">
        <w:rPr>
          <w:rFonts w:cstheme="minorHAnsi"/>
        </w:rPr>
        <w:t xml:space="preserve">directly influenced the way </w:t>
      </w:r>
      <w:r w:rsidRPr="004E22A9">
        <w:rPr>
          <w:rFonts w:cstheme="minorHAnsi"/>
          <w:i/>
        </w:rPr>
        <w:t>“Let’s Get Comfortable”</w:t>
      </w:r>
      <w:r w:rsidRPr="004E22A9">
        <w:rPr>
          <w:rFonts w:cstheme="minorHAnsi"/>
        </w:rPr>
        <w:t xml:space="preserve"> was made. These sculptures rely very much on recognizable, functioning materials that can be used by or on the body, for example furniture and clothing</w:t>
      </w:r>
      <w:r>
        <w:rPr>
          <w:rFonts w:cstheme="minorHAnsi"/>
        </w:rPr>
        <w:t xml:space="preserve"> (see Figure </w:t>
      </w:r>
      <w:r w:rsidR="00241AF1">
        <w:rPr>
          <w:rFonts w:cstheme="minorHAnsi"/>
        </w:rPr>
        <w:t>2</w:t>
      </w:r>
      <w:r>
        <w:rPr>
          <w:rFonts w:cstheme="minorHAnsi"/>
        </w:rPr>
        <w:t>)</w:t>
      </w:r>
      <w:r w:rsidRPr="004E22A9">
        <w:rPr>
          <w:rFonts w:cstheme="minorHAnsi"/>
        </w:rPr>
        <w:t>. The viewer has an awareness of the way these would feel if touched, of their tactile qualities: also</w:t>
      </w:r>
      <w:r>
        <w:rPr>
          <w:rFonts w:cstheme="minorHAnsi"/>
        </w:rPr>
        <w:t>,</w:t>
      </w:r>
      <w:r w:rsidRPr="004E22A9">
        <w:rPr>
          <w:rFonts w:cstheme="minorHAnsi"/>
        </w:rPr>
        <w:t xml:space="preserve"> how they might respond if sat upon. These somatic and haptic characteristics are the link to our physical understanding of the world as experienced through the individual habitus, and link again to </w:t>
      </w:r>
      <w:proofErr w:type="spellStart"/>
      <w:r w:rsidRPr="004E22A9">
        <w:rPr>
          <w:rFonts w:cstheme="minorHAnsi"/>
        </w:rPr>
        <w:t>Maharaj’s</w:t>
      </w:r>
      <w:proofErr w:type="spellEnd"/>
      <w:r w:rsidRPr="004E22A9">
        <w:rPr>
          <w:rFonts w:cstheme="minorHAnsi"/>
        </w:rPr>
        <w:t xml:space="preserve"> insistence upon the non-linguistic aspects of the work. </w:t>
      </w:r>
    </w:p>
    <w:p w14:paraId="12A74354" w14:textId="54526235" w:rsidR="00D31494" w:rsidRDefault="00D31494" w:rsidP="00D31494">
      <w:pPr>
        <w:spacing w:after="0" w:line="240" w:lineRule="auto"/>
        <w:rPr>
          <w:rFonts w:eastAsiaTheme="minorEastAsia" w:cstheme="minorHAnsi"/>
          <w:lang w:eastAsia="en-GB"/>
        </w:rPr>
      </w:pPr>
    </w:p>
    <w:p w14:paraId="778E8010" w14:textId="30D3ECD6" w:rsidR="0080638C" w:rsidRDefault="0080638C" w:rsidP="00D31494">
      <w:pPr>
        <w:spacing w:after="0" w:line="240" w:lineRule="auto"/>
        <w:rPr>
          <w:rFonts w:eastAsiaTheme="minorEastAsia" w:cstheme="minorHAnsi"/>
          <w:lang w:eastAsia="en-GB"/>
        </w:rPr>
      </w:pPr>
    </w:p>
    <w:p w14:paraId="4D318D81" w14:textId="010E7DCF" w:rsidR="0080638C" w:rsidRDefault="0080638C" w:rsidP="00D31494">
      <w:pPr>
        <w:spacing w:after="0" w:line="240" w:lineRule="auto"/>
        <w:rPr>
          <w:rFonts w:eastAsiaTheme="minorEastAsia" w:cstheme="minorHAnsi"/>
          <w:lang w:eastAsia="en-GB"/>
        </w:rPr>
      </w:pPr>
    </w:p>
    <w:p w14:paraId="23FD2FEA" w14:textId="4323E2F3" w:rsidR="0080638C" w:rsidRDefault="0080638C" w:rsidP="00D31494">
      <w:pPr>
        <w:spacing w:after="0" w:line="240" w:lineRule="auto"/>
        <w:rPr>
          <w:rFonts w:eastAsiaTheme="minorEastAsia" w:cstheme="minorHAnsi"/>
          <w:lang w:eastAsia="en-GB"/>
        </w:rPr>
      </w:pPr>
    </w:p>
    <w:p w14:paraId="52C6596F" w14:textId="1E61CEB1" w:rsidR="0080638C" w:rsidRDefault="0080638C" w:rsidP="00D31494">
      <w:pPr>
        <w:spacing w:after="0" w:line="240" w:lineRule="auto"/>
        <w:rPr>
          <w:rFonts w:eastAsiaTheme="minorEastAsia" w:cstheme="minorHAnsi"/>
          <w:lang w:eastAsia="en-GB"/>
        </w:rPr>
      </w:pPr>
    </w:p>
    <w:p w14:paraId="29432E33" w14:textId="11502276" w:rsidR="0080638C" w:rsidRDefault="0080638C" w:rsidP="00D31494">
      <w:pPr>
        <w:spacing w:after="0" w:line="240" w:lineRule="auto"/>
        <w:rPr>
          <w:rFonts w:eastAsiaTheme="minorEastAsia" w:cstheme="minorHAnsi"/>
          <w:lang w:eastAsia="en-GB"/>
        </w:rPr>
      </w:pPr>
    </w:p>
    <w:p w14:paraId="4A46CABB" w14:textId="18DC34D0" w:rsidR="0080638C" w:rsidRDefault="0080638C" w:rsidP="00D31494">
      <w:pPr>
        <w:spacing w:after="0" w:line="240" w:lineRule="auto"/>
        <w:rPr>
          <w:rFonts w:eastAsiaTheme="minorEastAsia" w:cstheme="minorHAnsi"/>
          <w:lang w:eastAsia="en-GB"/>
        </w:rPr>
      </w:pPr>
    </w:p>
    <w:p w14:paraId="52E2D0F9" w14:textId="6277D040" w:rsidR="0080638C" w:rsidRDefault="0080638C" w:rsidP="00D31494">
      <w:pPr>
        <w:spacing w:after="0" w:line="240" w:lineRule="auto"/>
        <w:rPr>
          <w:rFonts w:eastAsiaTheme="minorEastAsia" w:cstheme="minorHAnsi"/>
          <w:lang w:eastAsia="en-GB"/>
        </w:rPr>
      </w:pPr>
    </w:p>
    <w:p w14:paraId="297D0164" w14:textId="3BAB2083" w:rsidR="0080638C" w:rsidRDefault="0080638C" w:rsidP="00D31494">
      <w:pPr>
        <w:spacing w:after="0" w:line="240" w:lineRule="auto"/>
        <w:rPr>
          <w:rFonts w:eastAsiaTheme="minorEastAsia" w:cstheme="minorHAnsi"/>
          <w:lang w:eastAsia="en-GB"/>
        </w:rPr>
      </w:pPr>
    </w:p>
    <w:p w14:paraId="2F0B0A7F" w14:textId="559E79DC" w:rsidR="0080638C" w:rsidRDefault="0080638C" w:rsidP="00D31494">
      <w:pPr>
        <w:spacing w:after="0" w:line="240" w:lineRule="auto"/>
        <w:rPr>
          <w:rFonts w:eastAsiaTheme="minorEastAsia" w:cstheme="minorHAnsi"/>
          <w:lang w:eastAsia="en-GB"/>
        </w:rPr>
      </w:pPr>
    </w:p>
    <w:p w14:paraId="3BB5D0F4" w14:textId="491DE6EC" w:rsidR="0080638C" w:rsidRDefault="0080638C" w:rsidP="00D31494">
      <w:pPr>
        <w:spacing w:after="0" w:line="240" w:lineRule="auto"/>
        <w:rPr>
          <w:rFonts w:eastAsiaTheme="minorEastAsia" w:cstheme="minorHAnsi"/>
          <w:lang w:eastAsia="en-GB"/>
        </w:rPr>
      </w:pPr>
    </w:p>
    <w:p w14:paraId="1B30D41D" w14:textId="3B4610FC" w:rsidR="0080638C" w:rsidRDefault="0080638C" w:rsidP="00D31494">
      <w:pPr>
        <w:spacing w:after="0" w:line="240" w:lineRule="auto"/>
        <w:rPr>
          <w:rFonts w:eastAsiaTheme="minorEastAsia" w:cstheme="minorHAnsi"/>
          <w:lang w:eastAsia="en-GB"/>
        </w:rPr>
      </w:pPr>
    </w:p>
    <w:p w14:paraId="0A067316" w14:textId="77777777" w:rsidR="0080638C" w:rsidRDefault="0080638C" w:rsidP="00D31494">
      <w:pPr>
        <w:spacing w:after="0" w:line="240" w:lineRule="auto"/>
        <w:rPr>
          <w:rFonts w:eastAsiaTheme="minorEastAsia" w:cstheme="minorHAnsi"/>
          <w:lang w:eastAsia="en-GB"/>
        </w:rPr>
      </w:pPr>
    </w:p>
    <w:tbl>
      <w:tblPr>
        <w:tblStyle w:val="TableGrid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14"/>
        <w:gridCol w:w="4400"/>
      </w:tblGrid>
      <w:tr w:rsidR="00D31494" w:rsidRPr="004E22A9" w14:paraId="44AAA28C" w14:textId="77777777" w:rsidTr="00EE683E">
        <w:tc>
          <w:tcPr>
            <w:tcW w:w="4014" w:type="dxa"/>
            <w:vMerge w:val="restart"/>
          </w:tcPr>
          <w:p w14:paraId="69E9D4B0" w14:textId="77777777" w:rsidR="00D31494" w:rsidRPr="004E22A9" w:rsidRDefault="00D31494" w:rsidP="00EE683E">
            <w:pPr>
              <w:spacing w:after="0" w:line="360" w:lineRule="auto"/>
              <w:jc w:val="center"/>
              <w:rPr>
                <w:rFonts w:cstheme="minorHAnsi"/>
              </w:rPr>
            </w:pPr>
            <w:r w:rsidRPr="004E22A9">
              <w:rPr>
                <w:rFonts w:cstheme="minorHAnsi"/>
                <w:noProof/>
                <w:lang w:eastAsia="en-GB"/>
              </w:rPr>
              <w:lastRenderedPageBreak/>
              <w:drawing>
                <wp:inline distT="0" distB="0" distL="0" distR="0" wp14:anchorId="29B7F444" wp14:editId="1122A2C8">
                  <wp:extent cx="3927478" cy="2386927"/>
                  <wp:effectExtent l="8573" t="0" r="5397" b="5398"/>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345.JPG"/>
                          <pic:cNvPicPr/>
                        </pic:nvPicPr>
                        <pic:blipFill rotWithShape="1">
                          <a:blip r:embed="rId9" cstate="print">
                            <a:extLst>
                              <a:ext uri="{28A0092B-C50C-407E-A947-70E740481C1C}">
                                <a14:useLocalDpi xmlns:a14="http://schemas.microsoft.com/office/drawing/2010/main" val="0"/>
                              </a:ext>
                            </a:extLst>
                          </a:blip>
                          <a:srcRect t="8832"/>
                          <a:stretch/>
                        </pic:blipFill>
                        <pic:spPr bwMode="auto">
                          <a:xfrm rot="5400000">
                            <a:off x="0" y="0"/>
                            <a:ext cx="3943761" cy="2396823"/>
                          </a:xfrm>
                          <a:prstGeom prst="rect">
                            <a:avLst/>
                          </a:prstGeom>
                          <a:ln>
                            <a:noFill/>
                          </a:ln>
                          <a:extLst>
                            <a:ext uri="{53640926-AAD7-44D8-BBD7-CCE9431645EC}">
                              <a14:shadowObscured xmlns:a14="http://schemas.microsoft.com/office/drawing/2010/main"/>
                            </a:ext>
                          </a:extLst>
                        </pic:spPr>
                      </pic:pic>
                    </a:graphicData>
                  </a:graphic>
                </wp:inline>
              </w:drawing>
            </w:r>
          </w:p>
        </w:tc>
        <w:tc>
          <w:tcPr>
            <w:tcW w:w="4400" w:type="dxa"/>
          </w:tcPr>
          <w:p w14:paraId="4A91565A" w14:textId="77777777" w:rsidR="00D31494" w:rsidRPr="004E22A9" w:rsidRDefault="00D31494" w:rsidP="00EE683E">
            <w:pPr>
              <w:spacing w:after="0" w:line="360" w:lineRule="auto"/>
              <w:jc w:val="center"/>
              <w:rPr>
                <w:rFonts w:cstheme="minorHAnsi"/>
              </w:rPr>
            </w:pPr>
            <w:r w:rsidRPr="004E22A9">
              <w:rPr>
                <w:rFonts w:cstheme="minorHAnsi"/>
                <w:noProof/>
                <w:lang w:eastAsia="en-GB"/>
              </w:rPr>
              <w:drawing>
                <wp:inline distT="0" distB="0" distL="0" distR="0" wp14:anchorId="78CB9078" wp14:editId="3472462D">
                  <wp:extent cx="2578149" cy="18097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280.JPG"/>
                          <pic:cNvPicPr/>
                        </pic:nvPicPr>
                        <pic:blipFill>
                          <a:blip r:embed="rId10" cstate="print">
                            <a:extLst>
                              <a:ext uri="{28A0092B-C50C-407E-A947-70E740481C1C}">
                                <a14:useLocalDpi xmlns:a14="http://schemas.microsoft.com/office/drawing/2010/main" val="0"/>
                              </a:ext>
                            </a:extLst>
                          </a:blip>
                          <a:stretch>
                            <a:fillRect/>
                          </a:stretch>
                        </pic:blipFill>
                        <pic:spPr>
                          <a:xfrm rot="10800000">
                            <a:off x="0" y="0"/>
                            <a:ext cx="2581609" cy="1812179"/>
                          </a:xfrm>
                          <a:prstGeom prst="rect">
                            <a:avLst/>
                          </a:prstGeom>
                        </pic:spPr>
                      </pic:pic>
                    </a:graphicData>
                  </a:graphic>
                </wp:inline>
              </w:drawing>
            </w:r>
          </w:p>
        </w:tc>
      </w:tr>
      <w:tr w:rsidR="00D31494" w:rsidRPr="004E22A9" w14:paraId="3336C032" w14:textId="77777777" w:rsidTr="00EE683E">
        <w:tc>
          <w:tcPr>
            <w:tcW w:w="4014" w:type="dxa"/>
            <w:vMerge/>
          </w:tcPr>
          <w:p w14:paraId="612AA541" w14:textId="77777777" w:rsidR="00D31494" w:rsidRPr="004E22A9" w:rsidRDefault="00D31494" w:rsidP="00EE683E">
            <w:pPr>
              <w:spacing w:after="0" w:line="360" w:lineRule="auto"/>
              <w:jc w:val="center"/>
              <w:rPr>
                <w:rFonts w:cstheme="minorHAnsi"/>
              </w:rPr>
            </w:pPr>
          </w:p>
        </w:tc>
        <w:tc>
          <w:tcPr>
            <w:tcW w:w="4400" w:type="dxa"/>
          </w:tcPr>
          <w:p w14:paraId="3C12AAFF" w14:textId="77777777" w:rsidR="00D31494" w:rsidRPr="004E22A9" w:rsidRDefault="00D31494" w:rsidP="00EE683E">
            <w:pPr>
              <w:spacing w:after="0" w:line="360" w:lineRule="auto"/>
              <w:jc w:val="center"/>
              <w:rPr>
                <w:rFonts w:cstheme="minorHAnsi"/>
              </w:rPr>
            </w:pPr>
            <w:r w:rsidRPr="004E22A9">
              <w:rPr>
                <w:rFonts w:cstheme="minorHAnsi"/>
                <w:noProof/>
                <w:lang w:eastAsia="en-GB"/>
              </w:rPr>
              <w:drawing>
                <wp:inline distT="0" distB="0" distL="0" distR="0" wp14:anchorId="1EFB0C7C" wp14:editId="201AA640">
                  <wp:extent cx="2035997" cy="2538444"/>
                  <wp:effectExtent l="0" t="3493"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356.JPG"/>
                          <pic:cNvPicPr/>
                        </pic:nvPicPr>
                        <pic:blipFill rotWithShape="1">
                          <a:blip r:embed="rId11" cstate="print">
                            <a:extLst>
                              <a:ext uri="{28A0092B-C50C-407E-A947-70E740481C1C}">
                                <a14:useLocalDpi xmlns:a14="http://schemas.microsoft.com/office/drawing/2010/main" val="0"/>
                              </a:ext>
                            </a:extLst>
                          </a:blip>
                          <a:srcRect l="14002" r="32530"/>
                          <a:stretch/>
                        </pic:blipFill>
                        <pic:spPr bwMode="auto">
                          <a:xfrm rot="5400000">
                            <a:off x="0" y="0"/>
                            <a:ext cx="2040290" cy="2543796"/>
                          </a:xfrm>
                          <a:prstGeom prst="rect">
                            <a:avLst/>
                          </a:prstGeom>
                          <a:ln>
                            <a:noFill/>
                          </a:ln>
                          <a:extLst>
                            <a:ext uri="{53640926-AAD7-44D8-BBD7-CCE9431645EC}">
                              <a14:shadowObscured xmlns:a14="http://schemas.microsoft.com/office/drawing/2010/main"/>
                            </a:ext>
                          </a:extLst>
                        </pic:spPr>
                      </pic:pic>
                    </a:graphicData>
                  </a:graphic>
                </wp:inline>
              </w:drawing>
            </w:r>
          </w:p>
        </w:tc>
      </w:tr>
    </w:tbl>
    <w:p w14:paraId="5678038C" w14:textId="7C842B91" w:rsidR="00D31494" w:rsidRPr="0040155E" w:rsidRDefault="00D31494" w:rsidP="00D31494">
      <w:pPr>
        <w:spacing w:after="0" w:line="240" w:lineRule="auto"/>
        <w:rPr>
          <w:rFonts w:cstheme="minorHAnsi"/>
        </w:rPr>
      </w:pPr>
      <w:r w:rsidRPr="00CB3F67">
        <w:rPr>
          <w:rFonts w:cstheme="minorHAnsi"/>
        </w:rPr>
        <w:t xml:space="preserve">Figure </w:t>
      </w:r>
      <w:r>
        <w:rPr>
          <w:rFonts w:cstheme="minorHAnsi"/>
        </w:rPr>
        <w:t>2</w:t>
      </w:r>
      <w:r w:rsidRPr="0040155E">
        <w:rPr>
          <w:rFonts w:cstheme="minorHAnsi"/>
        </w:rPr>
        <w:t xml:space="preserve">: Sarah Horton. Details from </w:t>
      </w:r>
      <w:r w:rsidRPr="0040155E">
        <w:rPr>
          <w:rFonts w:cstheme="minorHAnsi"/>
          <w:i/>
        </w:rPr>
        <w:t>“Let’s get comfortable”</w:t>
      </w:r>
      <w:r w:rsidRPr="0040155E">
        <w:rPr>
          <w:rFonts w:cstheme="minorHAnsi"/>
        </w:rPr>
        <w:t xml:space="preserve"> including various fabrics, cord, </w:t>
      </w:r>
      <w:proofErr w:type="spellStart"/>
      <w:r w:rsidRPr="0040155E">
        <w:rPr>
          <w:rFonts w:cstheme="minorHAnsi"/>
        </w:rPr>
        <w:t>cordstoppers</w:t>
      </w:r>
      <w:proofErr w:type="spellEnd"/>
      <w:r w:rsidRPr="0040155E">
        <w:rPr>
          <w:rFonts w:cstheme="minorHAnsi"/>
        </w:rPr>
        <w:t>, tape, elastic. © Horton 2013.</w:t>
      </w:r>
    </w:p>
    <w:p w14:paraId="552CF357" w14:textId="77777777" w:rsidR="00D31494" w:rsidRDefault="00D31494" w:rsidP="00D31494">
      <w:pPr>
        <w:spacing w:after="0" w:line="240" w:lineRule="auto"/>
        <w:rPr>
          <w:rFonts w:cstheme="minorHAnsi"/>
        </w:rPr>
      </w:pPr>
    </w:p>
    <w:p w14:paraId="38803682" w14:textId="77777777" w:rsidR="00D31494" w:rsidRPr="004E22A9" w:rsidRDefault="00D31494" w:rsidP="00D31494">
      <w:pPr>
        <w:spacing w:after="0" w:line="240" w:lineRule="auto"/>
        <w:rPr>
          <w:rFonts w:cstheme="minorHAnsi"/>
        </w:rPr>
      </w:pPr>
      <w:r w:rsidRPr="004E22A9">
        <w:rPr>
          <w:rFonts w:eastAsiaTheme="minorEastAsia" w:cstheme="minorHAnsi"/>
          <w:lang w:eastAsia="en-GB"/>
        </w:rPr>
        <w:t>Bourdieu states that the ordinary choices of the everyday such as furniture and clothing are particularly revealing of deep-rooted and long-standing dispositions that ‘forge the unconscious unity of a class’ (Bourdieu 1979: 77). Within the artworks for Aviva e</w:t>
      </w:r>
      <w:r w:rsidRPr="004E22A9">
        <w:rPr>
          <w:rFonts w:cstheme="minorHAnsi"/>
        </w:rPr>
        <w:t xml:space="preserve">veryday fabrics, patterns and motifs were used to signify the decorative, including specific materials such as dress fabrics, suit materials, upholstery, soft furnishings and other decorative embellishments. The specificity of these materials and the details of the artworks were crucial to the jarring of the works in the context of Aviva (Figure 2). It is within these details that the references to class and taste are ‘held’ and can be recognised. It is also within these details that the paralinguistic qualities that </w:t>
      </w:r>
      <w:proofErr w:type="spellStart"/>
      <w:r w:rsidRPr="004E22A9">
        <w:rPr>
          <w:rFonts w:cstheme="minorHAnsi"/>
        </w:rPr>
        <w:t>Maharaj</w:t>
      </w:r>
      <w:proofErr w:type="spellEnd"/>
      <w:r w:rsidRPr="004E22A9">
        <w:rPr>
          <w:rFonts w:cstheme="minorHAnsi"/>
        </w:rPr>
        <w:t xml:space="preserve"> speaks of can be experienced. Although the fullness of their significance is articulated through the written exegesis that accompanies them, the text is not designed to ‘talk over and above’ the objects themselves.</w:t>
      </w:r>
    </w:p>
    <w:p w14:paraId="35CEA736" w14:textId="77777777" w:rsidR="00D31494" w:rsidRDefault="00D31494" w:rsidP="00D31494">
      <w:pPr>
        <w:spacing w:after="0" w:line="240" w:lineRule="auto"/>
        <w:rPr>
          <w:rFonts w:eastAsiaTheme="minorEastAsia" w:cstheme="minorHAnsi"/>
          <w:lang w:eastAsia="en-GB"/>
        </w:rPr>
      </w:pPr>
    </w:p>
    <w:p w14:paraId="7AE86323" w14:textId="0CBB558D" w:rsidR="00BC7634" w:rsidRPr="00773D4E" w:rsidRDefault="00BC7634" w:rsidP="00621DB0">
      <w:pPr>
        <w:spacing w:after="0" w:line="240" w:lineRule="auto"/>
        <w:rPr>
          <w:rFonts w:cstheme="minorHAnsi"/>
          <w:b/>
        </w:rPr>
      </w:pPr>
      <w:r w:rsidRPr="00773D4E">
        <w:rPr>
          <w:rFonts w:cstheme="minorHAnsi"/>
          <w:b/>
        </w:rPr>
        <w:t>A Practice-Theory Continuum</w:t>
      </w:r>
    </w:p>
    <w:p w14:paraId="1A88255A" w14:textId="24CEA224" w:rsidR="00514716" w:rsidRPr="004E22A9" w:rsidRDefault="00514716" w:rsidP="00514716">
      <w:pPr>
        <w:spacing w:after="0" w:line="240" w:lineRule="auto"/>
        <w:rPr>
          <w:rFonts w:cstheme="minorHAnsi"/>
        </w:rPr>
      </w:pPr>
      <w:r w:rsidRPr="004E22A9">
        <w:rPr>
          <w:rFonts w:cstheme="minorHAnsi"/>
        </w:rPr>
        <w:t xml:space="preserve">A guiding principle of </w:t>
      </w:r>
      <w:r>
        <w:rPr>
          <w:rFonts w:cstheme="minorHAnsi"/>
        </w:rPr>
        <w:t>my</w:t>
      </w:r>
      <w:r w:rsidRPr="004E22A9">
        <w:rPr>
          <w:rFonts w:cstheme="minorHAnsi"/>
        </w:rPr>
        <w:t xml:space="preserve"> Ph.D., and key to </w:t>
      </w:r>
      <w:r>
        <w:rPr>
          <w:rFonts w:cstheme="minorHAnsi"/>
        </w:rPr>
        <w:t>the</w:t>
      </w:r>
      <w:r w:rsidRPr="004E22A9">
        <w:rPr>
          <w:rFonts w:cstheme="minorHAnsi"/>
        </w:rPr>
        <w:t xml:space="preserve"> discussion here, is the idea that:</w:t>
      </w:r>
    </w:p>
    <w:p w14:paraId="740DBDCA" w14:textId="77777777" w:rsidR="00514716" w:rsidRPr="004E22A9" w:rsidRDefault="00514716" w:rsidP="00514716">
      <w:pPr>
        <w:spacing w:after="0" w:line="240" w:lineRule="auto"/>
        <w:rPr>
          <w:rFonts w:cstheme="minorHAnsi"/>
        </w:rPr>
      </w:pPr>
    </w:p>
    <w:p w14:paraId="4E36F541" w14:textId="262F0C1B" w:rsidR="00514716" w:rsidRPr="004E22A9" w:rsidRDefault="003C15DF" w:rsidP="00514716">
      <w:pPr>
        <w:spacing w:after="0" w:line="240" w:lineRule="auto"/>
        <w:ind w:left="851"/>
        <w:rPr>
          <w:rFonts w:cstheme="minorHAnsi"/>
          <w:bCs/>
        </w:rPr>
      </w:pPr>
      <w:r>
        <w:rPr>
          <w:rFonts w:cstheme="minorHAnsi"/>
        </w:rPr>
        <w:t>(t</w:t>
      </w:r>
      <w:proofErr w:type="gramStart"/>
      <w:r>
        <w:rPr>
          <w:rFonts w:cstheme="minorHAnsi"/>
        </w:rPr>
        <w:t>)</w:t>
      </w:r>
      <w:r w:rsidR="00514716" w:rsidRPr="004E22A9">
        <w:rPr>
          <w:rFonts w:cstheme="minorHAnsi"/>
        </w:rPr>
        <w:t>he</w:t>
      </w:r>
      <w:proofErr w:type="gramEnd"/>
      <w:r w:rsidR="00514716" w:rsidRPr="004E22A9">
        <w:rPr>
          <w:rFonts w:cstheme="minorHAnsi"/>
        </w:rPr>
        <w:t xml:space="preserve"> dialectic between the practical and the theoretical, between the concrete and the abstract, requires a mutual and continual testing. Philosophy is incomplete without being tested through examples, but what philosophy can offer is a ‘critical tool’ that can be used in the attempt to shatter the ‘natural’ appearance of objects and relations.</w:t>
      </w:r>
      <w:r w:rsidR="00514716" w:rsidRPr="004E22A9">
        <w:rPr>
          <w:rFonts w:cstheme="minorHAnsi"/>
          <w:bCs/>
        </w:rPr>
        <w:t xml:space="preserve"> </w:t>
      </w:r>
    </w:p>
    <w:p w14:paraId="2D6B96A8" w14:textId="77777777" w:rsidR="00514716" w:rsidRPr="004E22A9" w:rsidRDefault="00514716" w:rsidP="00514716">
      <w:pPr>
        <w:spacing w:after="0" w:line="240" w:lineRule="auto"/>
        <w:ind w:left="851"/>
        <w:rPr>
          <w:rFonts w:cstheme="minorHAnsi"/>
          <w:lang w:val="en-US"/>
        </w:rPr>
      </w:pPr>
      <w:r w:rsidRPr="004E22A9">
        <w:rPr>
          <w:rFonts w:cstheme="minorHAnsi"/>
          <w:bCs/>
        </w:rPr>
        <w:t>(Highmore 2002: 116)</w:t>
      </w:r>
      <w:r>
        <w:rPr>
          <w:rFonts w:cstheme="minorHAnsi"/>
          <w:bCs/>
        </w:rPr>
        <w:t>.</w:t>
      </w:r>
    </w:p>
    <w:p w14:paraId="137F6EEB" w14:textId="77777777" w:rsidR="00514716" w:rsidRPr="004E22A9" w:rsidRDefault="00514716" w:rsidP="00514716">
      <w:pPr>
        <w:spacing w:after="0" w:line="240" w:lineRule="auto"/>
        <w:rPr>
          <w:rFonts w:cstheme="minorHAnsi"/>
        </w:rPr>
      </w:pPr>
    </w:p>
    <w:p w14:paraId="1ACEF694" w14:textId="307EAD44" w:rsidR="00514716" w:rsidRPr="004E22A9" w:rsidRDefault="00514716" w:rsidP="00514716">
      <w:pPr>
        <w:spacing w:after="0" w:line="240" w:lineRule="auto"/>
        <w:rPr>
          <w:rFonts w:cstheme="minorHAnsi"/>
        </w:rPr>
      </w:pPr>
      <w:r w:rsidRPr="004E22A9">
        <w:rPr>
          <w:rFonts w:cstheme="minorHAnsi"/>
        </w:rPr>
        <w:t xml:space="preserve">So, rather than presenting theory and practice separately, each chapter of </w:t>
      </w:r>
      <w:r>
        <w:rPr>
          <w:rFonts w:cstheme="minorHAnsi"/>
        </w:rPr>
        <w:t xml:space="preserve">my thesis </w:t>
      </w:r>
      <w:r w:rsidRPr="004E22A9">
        <w:rPr>
          <w:rFonts w:cstheme="minorHAnsi"/>
        </w:rPr>
        <w:t xml:space="preserve">integrated discussion of my art practice with the historical, critical and theoretical dimensions that contextualised it. </w:t>
      </w:r>
      <w:r w:rsidRPr="004E22A9">
        <w:rPr>
          <w:rFonts w:cstheme="minorHAnsi"/>
          <w:iCs/>
          <w:shd w:val="clear" w:color="auto" w:fill="FFFFFF"/>
        </w:rPr>
        <w:t xml:space="preserve">In this model the texts read were explored through the making and any text that accompanied the artwork </w:t>
      </w:r>
      <w:r>
        <w:rPr>
          <w:rFonts w:cstheme="minorHAnsi"/>
          <w:iCs/>
          <w:shd w:val="clear" w:color="auto" w:fill="FFFFFF"/>
        </w:rPr>
        <w:t>wa</w:t>
      </w:r>
      <w:r w:rsidRPr="004E22A9">
        <w:rPr>
          <w:rFonts w:cstheme="minorHAnsi"/>
          <w:iCs/>
          <w:shd w:val="clear" w:color="auto" w:fill="FFFFFF"/>
        </w:rPr>
        <w:t xml:space="preserve">s a way of teasing out the meanings that were more or less implicit within the work. </w:t>
      </w:r>
      <w:r w:rsidRPr="004E22A9">
        <w:rPr>
          <w:rFonts w:cstheme="minorHAnsi"/>
        </w:rPr>
        <w:t>Katie Macleod (2000)</w:t>
      </w:r>
      <w:r>
        <w:rPr>
          <w:rFonts w:cstheme="minorHAnsi"/>
        </w:rPr>
        <w:t>,</w:t>
      </w:r>
      <w:r w:rsidRPr="004E22A9">
        <w:rPr>
          <w:rFonts w:cstheme="minorHAnsi"/>
        </w:rPr>
        <w:t xml:space="preserve"> in her discussion of the artist-theorist, refers to a </w:t>
      </w:r>
      <w:proofErr w:type="spellStart"/>
      <w:r w:rsidRPr="004E22A9">
        <w:rPr>
          <w:rFonts w:cstheme="minorHAnsi"/>
        </w:rPr>
        <w:t>matrixial</w:t>
      </w:r>
      <w:proofErr w:type="spellEnd"/>
      <w:r w:rsidRPr="004E22A9">
        <w:rPr>
          <w:rFonts w:cstheme="minorHAnsi"/>
        </w:rPr>
        <w:t xml:space="preserve"> model where theory is made or realised through artwork. This model demonstrates the ‘intellectuality of making, which is not the same as the intellectuality of writing’ (Macleod 2000).</w:t>
      </w:r>
    </w:p>
    <w:p w14:paraId="6388FFFA" w14:textId="77777777" w:rsidR="00514716" w:rsidRPr="00D66124" w:rsidRDefault="00514716" w:rsidP="00D35AF2">
      <w:pPr>
        <w:spacing w:after="0" w:line="240" w:lineRule="auto"/>
        <w:rPr>
          <w:rFonts w:cstheme="minorHAnsi"/>
          <w:b/>
        </w:rPr>
      </w:pPr>
    </w:p>
    <w:p w14:paraId="144312CE" w14:textId="225126D6" w:rsidR="00D35AF2" w:rsidRDefault="00514716" w:rsidP="00D35AF2">
      <w:pPr>
        <w:spacing w:after="0" w:line="240" w:lineRule="auto"/>
        <w:rPr>
          <w:rFonts w:cstheme="minorHAnsi"/>
        </w:rPr>
      </w:pPr>
      <w:r>
        <w:rPr>
          <w:rFonts w:cstheme="minorHAnsi"/>
        </w:rPr>
        <w:t>T</w:t>
      </w:r>
      <w:r w:rsidR="00D35AF2" w:rsidRPr="00A412A4">
        <w:rPr>
          <w:rFonts w:cstheme="minorHAnsi"/>
        </w:rPr>
        <w:t xml:space="preserve">he final presentation of </w:t>
      </w:r>
      <w:r w:rsidR="00195DBD">
        <w:rPr>
          <w:rFonts w:cstheme="minorHAnsi"/>
        </w:rPr>
        <w:t>my</w:t>
      </w:r>
      <w:r w:rsidR="00D35AF2" w:rsidRPr="00A412A4">
        <w:rPr>
          <w:rFonts w:cstheme="minorHAnsi"/>
        </w:rPr>
        <w:t xml:space="preserve"> </w:t>
      </w:r>
      <w:r w:rsidR="00451D0B" w:rsidRPr="00A412A4">
        <w:rPr>
          <w:rFonts w:cstheme="minorHAnsi"/>
        </w:rPr>
        <w:t>Ph.D.</w:t>
      </w:r>
      <w:r w:rsidR="00D35AF2" w:rsidRPr="00A412A4">
        <w:rPr>
          <w:rFonts w:cstheme="minorHAnsi"/>
        </w:rPr>
        <w:t xml:space="preserve"> comprised of two volumes. Volume One was a </w:t>
      </w:r>
      <w:r w:rsidR="008164F7" w:rsidRPr="00A412A4">
        <w:rPr>
          <w:rFonts w:cstheme="minorHAnsi"/>
        </w:rPr>
        <w:t xml:space="preserve">combination of text and images </w:t>
      </w:r>
      <w:r w:rsidR="00D35AF2" w:rsidRPr="00A412A4">
        <w:rPr>
          <w:rFonts w:cstheme="minorHAnsi"/>
        </w:rPr>
        <w:t>exploring the theoretical and contextual material that in</w:t>
      </w:r>
      <w:r w:rsidR="008164F7" w:rsidRPr="00A412A4">
        <w:rPr>
          <w:rFonts w:cstheme="minorHAnsi"/>
        </w:rPr>
        <w:t xml:space="preserve">formed the body of artwork. </w:t>
      </w:r>
      <w:r w:rsidR="00D35AF2" w:rsidRPr="00A412A4">
        <w:rPr>
          <w:rFonts w:cstheme="minorHAnsi"/>
        </w:rPr>
        <w:t xml:space="preserve">This written volume was extensively illustrated using examples of the artworks made for the </w:t>
      </w:r>
      <w:r w:rsidR="00A412A4">
        <w:rPr>
          <w:rFonts w:cstheme="minorHAnsi"/>
        </w:rPr>
        <w:t>research</w:t>
      </w:r>
      <w:r w:rsidR="00D35AF2" w:rsidRPr="00A412A4">
        <w:rPr>
          <w:rFonts w:cstheme="minorHAnsi"/>
        </w:rPr>
        <w:t xml:space="preserve"> as well as images of the work of other relevant artists</w:t>
      </w:r>
      <w:r w:rsidR="00590043" w:rsidRPr="00A412A4">
        <w:rPr>
          <w:rFonts w:cstheme="minorHAnsi"/>
        </w:rPr>
        <w:t>.</w:t>
      </w:r>
      <w:r w:rsidR="00D35AF2" w:rsidRPr="00A412A4">
        <w:rPr>
          <w:rFonts w:cstheme="minorHAnsi"/>
        </w:rPr>
        <w:t xml:space="preserve"> Volume Two was a predominantly visual account documenting the artworks made and how the</w:t>
      </w:r>
      <w:r w:rsidR="00A412A4">
        <w:rPr>
          <w:rFonts w:cstheme="minorHAnsi"/>
        </w:rPr>
        <w:t>y</w:t>
      </w:r>
      <w:r w:rsidR="00D35AF2" w:rsidRPr="00A412A4">
        <w:rPr>
          <w:rFonts w:cstheme="minorHAnsi"/>
        </w:rPr>
        <w:t xml:space="preserve"> were sited in each of their respective locations. As the process itself was so crucial to the making of </w:t>
      </w:r>
      <w:r>
        <w:rPr>
          <w:rFonts w:cstheme="minorHAnsi"/>
        </w:rPr>
        <w:t>the works</w:t>
      </w:r>
      <w:r w:rsidR="00D35AF2" w:rsidRPr="00A412A4">
        <w:rPr>
          <w:rFonts w:cstheme="minorHAnsi"/>
        </w:rPr>
        <w:t xml:space="preserve"> a detailed visual log of the </w:t>
      </w:r>
      <w:r w:rsidR="003A0306">
        <w:rPr>
          <w:rFonts w:cstheme="minorHAnsi"/>
        </w:rPr>
        <w:t xml:space="preserve">initial drawings </w:t>
      </w:r>
      <w:r w:rsidR="002F2C28">
        <w:rPr>
          <w:rFonts w:cstheme="minorHAnsi"/>
        </w:rPr>
        <w:t xml:space="preserve">(Figure </w:t>
      </w:r>
      <w:r w:rsidR="00241AF1">
        <w:rPr>
          <w:rFonts w:cstheme="minorHAnsi"/>
        </w:rPr>
        <w:t>3</w:t>
      </w:r>
      <w:r w:rsidR="002F2C28">
        <w:rPr>
          <w:rFonts w:cstheme="minorHAnsi"/>
        </w:rPr>
        <w:t>)</w:t>
      </w:r>
      <w:r w:rsidR="00D35AF2" w:rsidRPr="00A412A4">
        <w:rPr>
          <w:rFonts w:cstheme="minorHAnsi"/>
        </w:rPr>
        <w:t xml:space="preserve">, </w:t>
      </w:r>
      <w:r w:rsidR="003A0306">
        <w:rPr>
          <w:rFonts w:cstheme="minorHAnsi"/>
        </w:rPr>
        <w:t xml:space="preserve">proposal drawings </w:t>
      </w:r>
      <w:r w:rsidR="002F2C28">
        <w:rPr>
          <w:rFonts w:cstheme="minorHAnsi"/>
        </w:rPr>
        <w:t xml:space="preserve">(Figure </w:t>
      </w:r>
      <w:r w:rsidR="00241AF1">
        <w:rPr>
          <w:rFonts w:cstheme="minorHAnsi"/>
        </w:rPr>
        <w:t>4</w:t>
      </w:r>
      <w:r w:rsidR="002F2C28">
        <w:rPr>
          <w:rFonts w:cstheme="minorHAnsi"/>
        </w:rPr>
        <w:t xml:space="preserve">) </w:t>
      </w:r>
      <w:r w:rsidR="00D35AF2" w:rsidRPr="00A412A4">
        <w:rPr>
          <w:rFonts w:cstheme="minorHAnsi"/>
        </w:rPr>
        <w:t xml:space="preserve">and studio shots of work-in-progress </w:t>
      </w:r>
      <w:r w:rsidR="002F2C28">
        <w:rPr>
          <w:rFonts w:cstheme="minorHAnsi"/>
        </w:rPr>
        <w:t xml:space="preserve">(Figure </w:t>
      </w:r>
      <w:r w:rsidR="00241AF1">
        <w:rPr>
          <w:rFonts w:cstheme="minorHAnsi"/>
        </w:rPr>
        <w:t>2</w:t>
      </w:r>
      <w:r w:rsidR="002F2C28">
        <w:rPr>
          <w:rFonts w:cstheme="minorHAnsi"/>
        </w:rPr>
        <w:t xml:space="preserve">) </w:t>
      </w:r>
      <w:r w:rsidR="00D35AF2" w:rsidRPr="00A412A4">
        <w:rPr>
          <w:rFonts w:cstheme="minorHAnsi"/>
        </w:rPr>
        <w:t>that evidenced the making process</w:t>
      </w:r>
      <w:r w:rsidR="003C15DF">
        <w:rPr>
          <w:rFonts w:cstheme="minorHAnsi"/>
        </w:rPr>
        <w:t>,</w:t>
      </w:r>
      <w:r w:rsidR="00D35AF2" w:rsidRPr="00A412A4">
        <w:rPr>
          <w:rFonts w:cstheme="minorHAnsi"/>
        </w:rPr>
        <w:t xml:space="preserve"> were also included</w:t>
      </w:r>
      <w:r w:rsidR="00590043" w:rsidRPr="00A412A4">
        <w:rPr>
          <w:rFonts w:cstheme="minorHAnsi"/>
        </w:rPr>
        <w:t xml:space="preserve">. </w:t>
      </w:r>
      <w:r w:rsidR="00D35AF2" w:rsidRPr="00A412A4">
        <w:rPr>
          <w:rFonts w:cstheme="minorHAnsi"/>
        </w:rPr>
        <w:t xml:space="preserve">Quotes from my </w:t>
      </w:r>
      <w:r w:rsidR="00195DBD">
        <w:rPr>
          <w:rFonts w:cstheme="minorHAnsi"/>
        </w:rPr>
        <w:t>R</w:t>
      </w:r>
      <w:r w:rsidR="00D35AF2" w:rsidRPr="004E22A9">
        <w:rPr>
          <w:rFonts w:cstheme="minorHAnsi"/>
        </w:rPr>
        <w:t xml:space="preserve">eflective </w:t>
      </w:r>
      <w:r w:rsidR="00195DBD">
        <w:rPr>
          <w:rFonts w:cstheme="minorHAnsi"/>
        </w:rPr>
        <w:t>J</w:t>
      </w:r>
      <w:r w:rsidR="00D35AF2" w:rsidRPr="004E22A9">
        <w:rPr>
          <w:rFonts w:cstheme="minorHAnsi"/>
        </w:rPr>
        <w:t xml:space="preserve">ournal further revealed my thoughts at the time of making the works. </w:t>
      </w:r>
    </w:p>
    <w:p w14:paraId="099E2D9E" w14:textId="77777777" w:rsidR="00195DBD" w:rsidRPr="004E22A9" w:rsidRDefault="00195DBD" w:rsidP="00D35AF2">
      <w:pPr>
        <w:spacing w:after="0" w:line="240" w:lineRule="auto"/>
        <w:rPr>
          <w:rFonts w:cstheme="minorHAnsi"/>
        </w:rPr>
      </w:pPr>
    </w:p>
    <w:p w14:paraId="67B4CC62" w14:textId="1E4BB16B" w:rsidR="003A0306" w:rsidRDefault="003A0306" w:rsidP="003A0306">
      <w:pPr>
        <w:spacing w:after="0" w:line="240" w:lineRule="auto"/>
        <w:rPr>
          <w:rFonts w:cstheme="minorHAnsi"/>
        </w:rPr>
      </w:pPr>
      <w:r>
        <w:rPr>
          <w:noProof/>
          <w:lang w:eastAsia="en-GB"/>
        </w:rPr>
        <w:drawing>
          <wp:inline distT="0" distB="0" distL="0" distR="0" wp14:anchorId="458C9B1D" wp14:editId="6BB1BB94">
            <wp:extent cx="5727700" cy="3901795"/>
            <wp:effectExtent l="0" t="0" r="635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318.JPG"/>
                    <pic:cNvPicPr/>
                  </pic:nvPicPr>
                  <pic:blipFill rotWithShape="1">
                    <a:blip r:embed="rId12" cstate="print">
                      <a:extLst>
                        <a:ext uri="{BEBA8EAE-BF5A-486C-A8C5-ECC9F3942E4B}">
                          <a14:imgProps xmlns:a14="http://schemas.microsoft.com/office/drawing/2010/main">
                            <a14:imgLayer r:embed="rId13">
                              <a14:imgEffect>
                                <a14:brightnessContrast bright="16000"/>
                              </a14:imgEffect>
                            </a14:imgLayer>
                          </a14:imgProps>
                        </a:ext>
                        <a:ext uri="{28A0092B-C50C-407E-A947-70E740481C1C}">
                          <a14:useLocalDpi xmlns:a14="http://schemas.microsoft.com/office/drawing/2010/main" val="0"/>
                        </a:ext>
                      </a:extLst>
                    </a:blip>
                    <a:srcRect r="2147"/>
                    <a:stretch/>
                  </pic:blipFill>
                  <pic:spPr bwMode="auto">
                    <a:xfrm>
                      <a:off x="0" y="0"/>
                      <a:ext cx="5727700" cy="3901795"/>
                    </a:xfrm>
                    <a:prstGeom prst="rect">
                      <a:avLst/>
                    </a:prstGeom>
                    <a:ln>
                      <a:noFill/>
                    </a:ln>
                    <a:extLst>
                      <a:ext uri="{53640926-AAD7-44D8-BBD7-CCE9431645EC}">
                        <a14:shadowObscured xmlns:a14="http://schemas.microsoft.com/office/drawing/2010/main"/>
                      </a:ext>
                    </a:extLst>
                  </pic:spPr>
                </pic:pic>
              </a:graphicData>
            </a:graphic>
          </wp:inline>
        </w:drawing>
      </w:r>
    </w:p>
    <w:p w14:paraId="044EB3D9" w14:textId="08801188" w:rsidR="003A0306" w:rsidRPr="00773D4E" w:rsidRDefault="003A0306" w:rsidP="00773D4E">
      <w:pPr>
        <w:spacing w:after="0" w:line="240" w:lineRule="auto"/>
      </w:pPr>
      <w:r w:rsidRPr="00773D4E">
        <w:t xml:space="preserve">Figure </w:t>
      </w:r>
      <w:r w:rsidR="00241AF1">
        <w:t>3</w:t>
      </w:r>
      <w:r w:rsidRPr="00773D4E">
        <w:t xml:space="preserve">: Sarah Horton. Drawings and fabric swatches using the suit as a starting point (2012). Pencil, inks, watercolour, tape, fabric swatches and ribbon on paper. 29.7cm x 42cm. </w:t>
      </w:r>
      <w:r w:rsidRPr="00773D4E">
        <w:rPr>
          <w:rFonts w:eastAsiaTheme="minorEastAsia" w:cstheme="minorHAnsi"/>
          <w:lang w:eastAsia="en-GB"/>
        </w:rPr>
        <w:t>© Horton 2013.</w:t>
      </w:r>
    </w:p>
    <w:p w14:paraId="7F61A339" w14:textId="77777777" w:rsidR="00B028E2" w:rsidRPr="004E22A9" w:rsidRDefault="00B028E2" w:rsidP="00D35AF2">
      <w:pPr>
        <w:spacing w:after="0" w:line="240" w:lineRule="auto"/>
        <w:rPr>
          <w:rFonts w:cstheme="minorHAnsi"/>
          <w:iCs/>
          <w:shd w:val="clear" w:color="auto" w:fill="FFFFFF"/>
        </w:rPr>
      </w:pPr>
    </w:p>
    <w:p w14:paraId="5F01CC47" w14:textId="73AD0651" w:rsidR="00B83409" w:rsidRPr="004E22A9" w:rsidRDefault="00723382" w:rsidP="00B83409">
      <w:pPr>
        <w:spacing w:after="0" w:line="240" w:lineRule="auto"/>
        <w:rPr>
          <w:rFonts w:cstheme="minorHAnsi"/>
        </w:rPr>
      </w:pPr>
      <w:r w:rsidRPr="004E22A9">
        <w:rPr>
          <w:rFonts w:cstheme="minorHAnsi"/>
        </w:rPr>
        <w:t xml:space="preserve">In </w:t>
      </w:r>
      <w:r w:rsidRPr="004E22A9">
        <w:rPr>
          <w:rFonts w:cstheme="minorHAnsi"/>
          <w:i/>
        </w:rPr>
        <w:t xml:space="preserve">“Let’s </w:t>
      </w:r>
      <w:r w:rsidR="006F7F8A" w:rsidRPr="004E22A9">
        <w:rPr>
          <w:rFonts w:cstheme="minorHAnsi"/>
          <w:i/>
        </w:rPr>
        <w:t>G</w:t>
      </w:r>
      <w:r w:rsidRPr="004E22A9">
        <w:rPr>
          <w:rFonts w:cstheme="minorHAnsi"/>
          <w:i/>
        </w:rPr>
        <w:t>et Comfortable”</w:t>
      </w:r>
      <w:r w:rsidRPr="004E22A9">
        <w:rPr>
          <w:rFonts w:cstheme="minorHAnsi"/>
        </w:rPr>
        <w:t xml:space="preserve"> d</w:t>
      </w:r>
      <w:r w:rsidR="00B83409" w:rsidRPr="004E22A9">
        <w:rPr>
          <w:rFonts w:cstheme="minorHAnsi"/>
        </w:rPr>
        <w:t>ecoration was used to explore the relationship between the workplace and home and contextualised through theories of the everyday as posited by Henri Lefebvre</w:t>
      </w:r>
      <w:r w:rsidR="002C3D90">
        <w:rPr>
          <w:rFonts w:cstheme="minorHAnsi"/>
        </w:rPr>
        <w:t xml:space="preserve"> (1961)</w:t>
      </w:r>
      <w:r w:rsidR="00B83409" w:rsidRPr="004E22A9">
        <w:rPr>
          <w:rFonts w:cstheme="minorHAnsi"/>
        </w:rPr>
        <w:t xml:space="preserve">, Michel de </w:t>
      </w:r>
      <w:proofErr w:type="spellStart"/>
      <w:r w:rsidR="00B83409" w:rsidRPr="004E22A9">
        <w:rPr>
          <w:rFonts w:cstheme="minorHAnsi"/>
        </w:rPr>
        <w:t>Certeau</w:t>
      </w:r>
      <w:proofErr w:type="spellEnd"/>
      <w:r w:rsidR="00B83409" w:rsidRPr="004E22A9">
        <w:rPr>
          <w:rFonts w:cstheme="minorHAnsi"/>
        </w:rPr>
        <w:t xml:space="preserve"> </w:t>
      </w:r>
      <w:r w:rsidR="001B34A1">
        <w:rPr>
          <w:rFonts w:cstheme="minorHAnsi"/>
        </w:rPr>
        <w:t xml:space="preserve">(1984 and 1998) </w:t>
      </w:r>
      <w:r w:rsidR="00B83409" w:rsidRPr="004E22A9">
        <w:rPr>
          <w:rFonts w:cstheme="minorHAnsi"/>
        </w:rPr>
        <w:t>and Ben Highmore</w:t>
      </w:r>
      <w:r w:rsidR="001B34A1">
        <w:rPr>
          <w:rFonts w:cstheme="minorHAnsi"/>
        </w:rPr>
        <w:t xml:space="preserve"> (2002)</w:t>
      </w:r>
      <w:r w:rsidR="00B83409" w:rsidRPr="004E22A9">
        <w:rPr>
          <w:rFonts w:cstheme="minorHAnsi"/>
        </w:rPr>
        <w:t xml:space="preserve">. David Brett’s </w:t>
      </w:r>
      <w:r w:rsidRPr="004E22A9">
        <w:rPr>
          <w:rFonts w:cstheme="minorHAnsi"/>
        </w:rPr>
        <w:t xml:space="preserve">(2005) </w:t>
      </w:r>
      <w:r w:rsidR="00B83409" w:rsidRPr="004E22A9">
        <w:rPr>
          <w:rFonts w:cstheme="minorHAnsi"/>
        </w:rPr>
        <w:t xml:space="preserve">exposition of the decorative as holding both pleasurable and connective factors was </w:t>
      </w:r>
      <w:r w:rsidR="00195DBD">
        <w:rPr>
          <w:rFonts w:cstheme="minorHAnsi"/>
        </w:rPr>
        <w:t xml:space="preserve">also </w:t>
      </w:r>
      <w:r w:rsidR="00B83409" w:rsidRPr="004E22A9">
        <w:rPr>
          <w:rFonts w:cstheme="minorHAnsi"/>
        </w:rPr>
        <w:t>useful in describing the way in which the decorative is highly pervasive. Many areas of design and craft production incorporate decorative elements</w:t>
      </w:r>
      <w:r w:rsidR="00635303" w:rsidRPr="004E22A9">
        <w:rPr>
          <w:rFonts w:cstheme="minorHAnsi"/>
        </w:rPr>
        <w:t xml:space="preserve"> and the </w:t>
      </w:r>
      <w:r w:rsidR="00B83409" w:rsidRPr="004E22A9">
        <w:rPr>
          <w:rFonts w:cstheme="minorHAnsi"/>
        </w:rPr>
        <w:t xml:space="preserve">decorative can also be a ‘way-in’ for a potential audience to enjoy or discover ideas in art and design. </w:t>
      </w:r>
      <w:r w:rsidR="00635303" w:rsidRPr="004E22A9">
        <w:rPr>
          <w:rFonts w:cstheme="minorHAnsi"/>
        </w:rPr>
        <w:t>However, when used out-of-place</w:t>
      </w:r>
      <w:r w:rsidR="00A05AE1">
        <w:rPr>
          <w:rFonts w:cstheme="minorHAnsi"/>
        </w:rPr>
        <w:t xml:space="preserve"> </w:t>
      </w:r>
      <w:r w:rsidR="00B83409" w:rsidRPr="004E22A9">
        <w:rPr>
          <w:rFonts w:cstheme="minorHAnsi"/>
        </w:rPr>
        <w:t>Miles speaks of decoration as something that can disrupt or disturb the ideal space:</w:t>
      </w:r>
    </w:p>
    <w:p w14:paraId="68C16A38" w14:textId="77777777" w:rsidR="005F5467" w:rsidRPr="004E22A9" w:rsidRDefault="005F5467" w:rsidP="00B83409">
      <w:pPr>
        <w:spacing w:after="0" w:line="240" w:lineRule="auto"/>
        <w:rPr>
          <w:rFonts w:cstheme="minorHAnsi"/>
        </w:rPr>
      </w:pPr>
    </w:p>
    <w:p w14:paraId="5F14D71C" w14:textId="0B398CFC" w:rsidR="005F5467" w:rsidRPr="004E22A9" w:rsidRDefault="00B83409" w:rsidP="00B83409">
      <w:pPr>
        <w:spacing w:after="0" w:line="240" w:lineRule="auto"/>
        <w:ind w:left="851"/>
        <w:rPr>
          <w:rFonts w:cstheme="minorHAnsi"/>
        </w:rPr>
      </w:pPr>
      <w:r w:rsidRPr="004E22A9">
        <w:rPr>
          <w:rFonts w:cstheme="minorHAnsi"/>
        </w:rPr>
        <w:t>(</w:t>
      </w:r>
      <w:proofErr w:type="spellStart"/>
      <w:r w:rsidRPr="004E22A9">
        <w:rPr>
          <w:rFonts w:cstheme="minorHAnsi"/>
        </w:rPr>
        <w:t>i</w:t>
      </w:r>
      <w:proofErr w:type="spellEnd"/>
      <w:proofErr w:type="gramStart"/>
      <w:r w:rsidRPr="004E22A9">
        <w:rPr>
          <w:rFonts w:cstheme="minorHAnsi"/>
        </w:rPr>
        <w:t>)n</w:t>
      </w:r>
      <w:proofErr w:type="gramEnd"/>
      <w:r w:rsidRPr="004E22A9">
        <w:rPr>
          <w:rFonts w:cstheme="minorHAnsi"/>
        </w:rPr>
        <w:t xml:space="preserve"> acts of decoration …… in all the things people do themselves to state identity, the dominant city is disordered. Decoration is not a process of purification but of </w:t>
      </w:r>
      <w:r w:rsidRPr="004E22A9">
        <w:rPr>
          <w:rFonts w:cstheme="minorHAnsi"/>
        </w:rPr>
        <w:lastRenderedPageBreak/>
        <w:t xml:space="preserve">accretion and deconstruction, in the terms of the dominant city a kind of pollution or dirt. Endlessly diverse and always contingent, </w:t>
      </w:r>
      <w:r w:rsidR="005F5467" w:rsidRPr="004E22A9">
        <w:rPr>
          <w:rFonts w:cstheme="minorHAnsi"/>
        </w:rPr>
        <w:t>decoration undermines the ideal.</w:t>
      </w:r>
    </w:p>
    <w:p w14:paraId="63069DC0" w14:textId="3C3B8BF8" w:rsidR="00B83409" w:rsidRPr="004E22A9" w:rsidRDefault="005F5467" w:rsidP="00B83409">
      <w:pPr>
        <w:spacing w:after="0" w:line="240" w:lineRule="auto"/>
        <w:ind w:left="851"/>
        <w:rPr>
          <w:rFonts w:cstheme="minorHAnsi"/>
        </w:rPr>
      </w:pPr>
      <w:r w:rsidRPr="004E22A9">
        <w:rPr>
          <w:rFonts w:cstheme="minorHAnsi"/>
        </w:rPr>
        <w:t>(Miles 2000: 5)</w:t>
      </w:r>
    </w:p>
    <w:p w14:paraId="7D04F0EF" w14:textId="77777777" w:rsidR="007E50D8" w:rsidRPr="004E22A9" w:rsidRDefault="007E50D8" w:rsidP="007E50D8">
      <w:pPr>
        <w:spacing w:after="0" w:line="240" w:lineRule="auto"/>
        <w:rPr>
          <w:rFonts w:eastAsiaTheme="minorEastAsia" w:cstheme="minorHAnsi"/>
          <w:lang w:eastAsia="en-GB"/>
        </w:rPr>
      </w:pPr>
    </w:p>
    <w:p w14:paraId="1DC105FF" w14:textId="71BA9A1A" w:rsidR="00590043" w:rsidRPr="004E22A9" w:rsidRDefault="00B83409" w:rsidP="009E7B1D">
      <w:pPr>
        <w:spacing w:after="0" w:line="240" w:lineRule="auto"/>
        <w:rPr>
          <w:rFonts w:cstheme="minorHAnsi"/>
        </w:rPr>
      </w:pPr>
      <w:r w:rsidRPr="004E22A9">
        <w:rPr>
          <w:rFonts w:cstheme="minorHAnsi"/>
        </w:rPr>
        <w:t>Within alternative sites, the work of art acts</w:t>
      </w:r>
      <w:r w:rsidR="00635303" w:rsidRPr="004E22A9">
        <w:rPr>
          <w:rFonts w:cstheme="minorHAnsi"/>
        </w:rPr>
        <w:t xml:space="preserve">, according to </w:t>
      </w:r>
      <w:r w:rsidRPr="004E22A9">
        <w:rPr>
          <w:rFonts w:cstheme="minorHAnsi"/>
        </w:rPr>
        <w:t>Lefebvre</w:t>
      </w:r>
      <w:r w:rsidR="00635303" w:rsidRPr="004E22A9">
        <w:rPr>
          <w:rFonts w:cstheme="minorHAnsi"/>
        </w:rPr>
        <w:t xml:space="preserve">, </w:t>
      </w:r>
      <w:r w:rsidRPr="004E22A9">
        <w:rPr>
          <w:rFonts w:cstheme="minorHAnsi"/>
        </w:rPr>
        <w:t xml:space="preserve">as a form of ‘play-generating-yeast’ (Lefebvre 2002: 3).  Finding alternative contexts for the display of work allows for different frames of reference to affect the work, in this case using decoration as a tool for questioning issues of class and disrupting the spatial properties that support these assumptions. These placements of artwork within the work </w:t>
      </w:r>
      <w:r w:rsidR="00B53E00" w:rsidRPr="004E22A9">
        <w:rPr>
          <w:rFonts w:cstheme="minorHAnsi"/>
        </w:rPr>
        <w:t xml:space="preserve">place </w:t>
      </w:r>
      <w:r w:rsidRPr="004E22A9">
        <w:rPr>
          <w:rFonts w:cstheme="minorHAnsi"/>
        </w:rPr>
        <w:t xml:space="preserve">function also as ‘tactical’ disturbances of the kind referred to by de </w:t>
      </w:r>
      <w:proofErr w:type="spellStart"/>
      <w:r w:rsidRPr="004E22A9">
        <w:rPr>
          <w:rFonts w:cstheme="minorHAnsi"/>
        </w:rPr>
        <w:t>Certeau</w:t>
      </w:r>
      <w:proofErr w:type="spellEnd"/>
      <w:r w:rsidRPr="004E22A9">
        <w:rPr>
          <w:rFonts w:cstheme="minorHAnsi"/>
        </w:rPr>
        <w:t xml:space="preserve">, and to Rosalyn </w:t>
      </w:r>
      <w:proofErr w:type="spellStart"/>
      <w:r w:rsidRPr="004E22A9">
        <w:rPr>
          <w:rFonts w:cstheme="minorHAnsi"/>
        </w:rPr>
        <w:t>Deutsche’s</w:t>
      </w:r>
      <w:proofErr w:type="spellEnd"/>
      <w:r w:rsidRPr="004E22A9">
        <w:rPr>
          <w:rFonts w:cstheme="minorHAnsi"/>
        </w:rPr>
        <w:t xml:space="preserve"> interrogative model of site-related art (</w:t>
      </w:r>
      <w:r w:rsidR="00635303" w:rsidRPr="004E22A9">
        <w:rPr>
          <w:rFonts w:cstheme="minorHAnsi"/>
        </w:rPr>
        <w:t>1996</w:t>
      </w:r>
      <w:r w:rsidRPr="004E22A9">
        <w:rPr>
          <w:rFonts w:cstheme="minorHAnsi"/>
        </w:rPr>
        <w:t>) where the presence of the artworks provide</w:t>
      </w:r>
      <w:r w:rsidR="00723382" w:rsidRPr="004E22A9">
        <w:rPr>
          <w:rFonts w:cstheme="minorHAnsi"/>
        </w:rPr>
        <w:t>s</w:t>
      </w:r>
      <w:r w:rsidRPr="004E22A9">
        <w:rPr>
          <w:rFonts w:cstheme="minorHAnsi"/>
        </w:rPr>
        <w:t xml:space="preserve"> a direct challenge to their surroundings. </w:t>
      </w:r>
      <w:r w:rsidR="00D31494">
        <w:rPr>
          <w:rFonts w:cstheme="minorHAnsi"/>
        </w:rPr>
        <w:t xml:space="preserve">In the context of site-related art the non-verbal that </w:t>
      </w:r>
      <w:proofErr w:type="spellStart"/>
      <w:r w:rsidR="00D31494">
        <w:rPr>
          <w:rFonts w:cstheme="minorHAnsi"/>
        </w:rPr>
        <w:t>Maharaj</w:t>
      </w:r>
      <w:proofErr w:type="spellEnd"/>
      <w:r w:rsidR="00D31494">
        <w:rPr>
          <w:rFonts w:cstheme="minorHAnsi"/>
        </w:rPr>
        <w:t xml:space="preserve"> refers to might also be said to include the environment in which the art is placed where the specific characteristics of the artwork’s surroundings alter or affect our perception of the work. </w:t>
      </w:r>
    </w:p>
    <w:p w14:paraId="2692364A" w14:textId="64FBF615" w:rsidR="00590043" w:rsidRDefault="00590043" w:rsidP="009E7B1D">
      <w:pPr>
        <w:spacing w:after="0" w:line="240" w:lineRule="auto"/>
        <w:rPr>
          <w:rFonts w:cstheme="minorHAnsi"/>
        </w:rPr>
      </w:pPr>
    </w:p>
    <w:p w14:paraId="0AE0DBD2" w14:textId="24DCF2B1" w:rsidR="009D38D8" w:rsidRDefault="009D38D8" w:rsidP="009D38D8">
      <w:pPr>
        <w:spacing w:after="0" w:line="240" w:lineRule="auto"/>
        <w:rPr>
          <w:rFonts w:cstheme="minorHAnsi"/>
        </w:rPr>
      </w:pPr>
      <w:r>
        <w:rPr>
          <w:noProof/>
          <w:lang w:eastAsia="en-GB"/>
        </w:rPr>
        <w:drawing>
          <wp:inline distT="0" distB="0" distL="0" distR="0" wp14:anchorId="3B3567EE" wp14:editId="71BE1949">
            <wp:extent cx="5727700" cy="3754755"/>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
                      <a:extLst>
                        <a:ext uri="{28A0092B-C50C-407E-A947-70E740481C1C}">
                          <a14:useLocalDpi xmlns:a14="http://schemas.microsoft.com/office/drawing/2010/main" val="0"/>
                        </a:ext>
                      </a:extLst>
                    </a:blip>
                    <a:srcRect r="4752" b="7143"/>
                    <a:stretch>
                      <a:fillRect/>
                    </a:stretch>
                  </pic:blipFill>
                  <pic:spPr bwMode="auto">
                    <a:xfrm>
                      <a:off x="0" y="0"/>
                      <a:ext cx="5727700" cy="3754755"/>
                    </a:xfrm>
                    <a:prstGeom prst="rect">
                      <a:avLst/>
                    </a:prstGeom>
                    <a:noFill/>
                    <a:ln>
                      <a:noFill/>
                    </a:ln>
                  </pic:spPr>
                </pic:pic>
              </a:graphicData>
            </a:graphic>
          </wp:inline>
        </w:drawing>
      </w:r>
    </w:p>
    <w:p w14:paraId="6F5DD044" w14:textId="7C56CAC9" w:rsidR="009D38D8" w:rsidRDefault="009D38D8" w:rsidP="009D38D8">
      <w:pPr>
        <w:spacing w:after="0" w:line="240" w:lineRule="auto"/>
      </w:pPr>
      <w:r>
        <w:rPr>
          <w:rFonts w:cstheme="minorHAnsi"/>
        </w:rPr>
        <w:t>Figure 4: Sarah Horton</w:t>
      </w:r>
      <w:r w:rsidR="000D0BF5">
        <w:rPr>
          <w:rFonts w:cstheme="minorHAnsi"/>
        </w:rPr>
        <w:t>.</w:t>
      </w:r>
      <w:r>
        <w:rPr>
          <w:rFonts w:cstheme="minorHAnsi"/>
        </w:rPr>
        <w:t xml:space="preserve"> </w:t>
      </w:r>
      <w:r>
        <w:t xml:space="preserve">Proposal drawing of </w:t>
      </w:r>
      <w:r>
        <w:rPr>
          <w:i/>
        </w:rPr>
        <w:t>“Let’s get comfortable”</w:t>
      </w:r>
      <w:r>
        <w:t xml:space="preserve"> used for pitch to Aviva staff (2012). Gouache and watercolour on photocopy. 29.7 x 42cm. </w:t>
      </w:r>
      <w:r>
        <w:rPr>
          <w:rFonts w:eastAsiaTheme="minorEastAsia" w:cstheme="minorHAnsi"/>
          <w:lang w:eastAsia="en-GB"/>
        </w:rPr>
        <w:t>© Horton 2013.</w:t>
      </w:r>
    </w:p>
    <w:p w14:paraId="311C8029" w14:textId="77777777" w:rsidR="009D38D8" w:rsidRPr="004E22A9" w:rsidRDefault="009D38D8" w:rsidP="009E7B1D">
      <w:pPr>
        <w:spacing w:after="0" w:line="240" w:lineRule="auto"/>
        <w:rPr>
          <w:rFonts w:cstheme="minorHAnsi"/>
        </w:rPr>
      </w:pPr>
    </w:p>
    <w:p w14:paraId="4083935B" w14:textId="1251BC32" w:rsidR="001B34A1" w:rsidRDefault="009E7B1D" w:rsidP="003A0306">
      <w:pPr>
        <w:spacing w:after="0" w:line="240" w:lineRule="auto"/>
        <w:rPr>
          <w:rFonts w:cstheme="minorHAnsi"/>
        </w:rPr>
      </w:pPr>
      <w:r w:rsidRPr="004E22A9">
        <w:rPr>
          <w:rFonts w:cstheme="minorHAnsi"/>
        </w:rPr>
        <w:t>I would argue that in this relationship the areas of theory</w:t>
      </w:r>
      <w:r w:rsidR="00590043" w:rsidRPr="004E22A9">
        <w:rPr>
          <w:rFonts w:cstheme="minorHAnsi"/>
        </w:rPr>
        <w:t>,</w:t>
      </w:r>
      <w:r w:rsidRPr="004E22A9">
        <w:rPr>
          <w:rFonts w:cstheme="minorHAnsi"/>
        </w:rPr>
        <w:t xml:space="preserve"> as espoused through the text</w:t>
      </w:r>
      <w:r w:rsidR="00590043" w:rsidRPr="004E22A9">
        <w:rPr>
          <w:rFonts w:cstheme="minorHAnsi"/>
        </w:rPr>
        <w:t>,</w:t>
      </w:r>
      <w:r w:rsidRPr="004E22A9">
        <w:rPr>
          <w:rFonts w:cstheme="minorHAnsi"/>
        </w:rPr>
        <w:t xml:space="preserve"> and </w:t>
      </w:r>
      <w:r w:rsidR="00590043" w:rsidRPr="004E22A9">
        <w:rPr>
          <w:rFonts w:cstheme="minorHAnsi"/>
        </w:rPr>
        <w:t xml:space="preserve">the theory implied in the </w:t>
      </w:r>
      <w:r w:rsidRPr="004E22A9">
        <w:rPr>
          <w:rFonts w:cstheme="minorHAnsi"/>
        </w:rPr>
        <w:t xml:space="preserve">practice can be seen to be points along a continuum, rather than being </w:t>
      </w:r>
      <w:proofErr w:type="spellStart"/>
      <w:r w:rsidRPr="004E22A9">
        <w:rPr>
          <w:rFonts w:cstheme="minorHAnsi"/>
        </w:rPr>
        <w:t>oppositionally</w:t>
      </w:r>
      <w:proofErr w:type="spellEnd"/>
      <w:r w:rsidRPr="004E22A9">
        <w:rPr>
          <w:rFonts w:cstheme="minorHAnsi"/>
        </w:rPr>
        <w:t xml:space="preserve"> positioned</w:t>
      </w:r>
      <w:r w:rsidR="00195DBD">
        <w:rPr>
          <w:rFonts w:cstheme="minorHAnsi"/>
        </w:rPr>
        <w:t xml:space="preserve"> to practice</w:t>
      </w:r>
      <w:r w:rsidRPr="004E22A9">
        <w:rPr>
          <w:rFonts w:cstheme="minorHAnsi"/>
        </w:rPr>
        <w:t xml:space="preserve">. In his </w:t>
      </w:r>
      <w:r w:rsidRPr="004E22A9">
        <w:rPr>
          <w:rFonts w:cstheme="minorHAnsi"/>
          <w:i/>
        </w:rPr>
        <w:t>Dialectical Materialism</w:t>
      </w:r>
      <w:r w:rsidRPr="004E22A9">
        <w:rPr>
          <w:rFonts w:cstheme="minorHAnsi"/>
        </w:rPr>
        <w:t xml:space="preserve"> of 1939 Lefebvre recognized in the model of thesis, antithesis and synthesis ‘the potential to transcend both ideological theory and social practice, hinting at a resolution of these habitual oppositions through praxis’ (Cummings and </w:t>
      </w:r>
      <w:proofErr w:type="spellStart"/>
      <w:r w:rsidRPr="004E22A9">
        <w:rPr>
          <w:rFonts w:cstheme="minorHAnsi"/>
        </w:rPr>
        <w:t>Lewandowska</w:t>
      </w:r>
      <w:proofErr w:type="spellEnd"/>
      <w:r w:rsidRPr="004E22A9">
        <w:rPr>
          <w:rFonts w:cstheme="minorHAnsi"/>
        </w:rPr>
        <w:t xml:space="preserve"> 2006: 413). For Marx, praxis is the way that theory becomes part of lived experience ‘where an idea ceases to be an abstract concept and becomes an everyday reality’ (ibid). </w:t>
      </w:r>
    </w:p>
    <w:p w14:paraId="12F049D0" w14:textId="77777777" w:rsidR="001B34A1" w:rsidRDefault="001B34A1" w:rsidP="003A0306">
      <w:pPr>
        <w:spacing w:after="0" w:line="240" w:lineRule="auto"/>
        <w:rPr>
          <w:rFonts w:cstheme="minorHAnsi"/>
        </w:rPr>
      </w:pPr>
    </w:p>
    <w:p w14:paraId="52DEC7F6" w14:textId="240BB529" w:rsidR="009E7B1D" w:rsidRPr="004E22A9" w:rsidRDefault="009E7B1D" w:rsidP="003A0306">
      <w:pPr>
        <w:spacing w:after="0" w:line="240" w:lineRule="auto"/>
        <w:rPr>
          <w:rFonts w:cstheme="minorHAnsi"/>
        </w:rPr>
      </w:pPr>
      <w:r w:rsidRPr="004E22A9">
        <w:rPr>
          <w:rFonts w:cstheme="minorHAnsi"/>
        </w:rPr>
        <w:lastRenderedPageBreak/>
        <w:t>Thus</w:t>
      </w:r>
      <w:r w:rsidR="00195DBD">
        <w:rPr>
          <w:rFonts w:cstheme="minorHAnsi"/>
        </w:rPr>
        <w:t>,</w:t>
      </w:r>
      <w:r w:rsidRPr="004E22A9">
        <w:rPr>
          <w:rFonts w:cstheme="minorHAnsi"/>
        </w:rPr>
        <w:t xml:space="preserve"> it is entirely feasible that ideas can be seen </w:t>
      </w:r>
      <w:r w:rsidR="00656AE7" w:rsidRPr="004E22A9">
        <w:rPr>
          <w:rFonts w:cstheme="minorHAnsi"/>
        </w:rPr>
        <w:t>as</w:t>
      </w:r>
      <w:r w:rsidRPr="004E22A9">
        <w:rPr>
          <w:rFonts w:cstheme="minorHAnsi"/>
        </w:rPr>
        <w:t xml:space="preserve"> embedded through </w:t>
      </w:r>
      <w:proofErr w:type="spellStart"/>
      <w:r w:rsidRPr="004E22A9">
        <w:rPr>
          <w:rFonts w:cstheme="minorHAnsi"/>
        </w:rPr>
        <w:t>everyday</w:t>
      </w:r>
      <w:proofErr w:type="spellEnd"/>
      <w:r w:rsidRPr="004E22A9">
        <w:rPr>
          <w:rFonts w:cstheme="minorHAnsi"/>
        </w:rPr>
        <w:t xml:space="preserve"> and/or artistic practices. The function of the written </w:t>
      </w:r>
      <w:r w:rsidR="00451D0B" w:rsidRPr="004E22A9">
        <w:rPr>
          <w:rFonts w:cstheme="minorHAnsi"/>
        </w:rPr>
        <w:t>Ph.D.</w:t>
      </w:r>
      <w:r w:rsidRPr="004E22A9">
        <w:rPr>
          <w:rFonts w:cstheme="minorHAnsi"/>
        </w:rPr>
        <w:t xml:space="preserve"> thesis is to tease out and articulate some of these ideas in textual form. It is interesting that we talk about how works of art can be ‘</w:t>
      </w:r>
      <w:r w:rsidR="002C22C8" w:rsidRPr="004E22A9">
        <w:rPr>
          <w:rFonts w:cstheme="minorHAnsi"/>
        </w:rPr>
        <w:t xml:space="preserve">read’ as they become an alternative form of </w:t>
      </w:r>
      <w:r w:rsidRPr="004E22A9">
        <w:rPr>
          <w:rFonts w:cstheme="minorHAnsi"/>
        </w:rPr>
        <w:t xml:space="preserve">text in themselves, and how words can provide ‘anchorage’ (Barthes 1977: 39) to help fix the many potential meanings or signifiers within an image. So, whilst the paralinguistic aspects </w:t>
      </w:r>
      <w:r w:rsidR="00EB339B">
        <w:rPr>
          <w:rFonts w:cstheme="minorHAnsi"/>
        </w:rPr>
        <w:t xml:space="preserve">that </w:t>
      </w:r>
      <w:proofErr w:type="spellStart"/>
      <w:r w:rsidR="00EB339B">
        <w:rPr>
          <w:rFonts w:cstheme="minorHAnsi"/>
        </w:rPr>
        <w:t>Maharaj</w:t>
      </w:r>
      <w:proofErr w:type="spellEnd"/>
      <w:r w:rsidR="00EB339B">
        <w:rPr>
          <w:rFonts w:cstheme="minorHAnsi"/>
        </w:rPr>
        <w:t xml:space="preserve"> refers to </w:t>
      </w:r>
      <w:r w:rsidRPr="004E22A9">
        <w:rPr>
          <w:rFonts w:cstheme="minorHAnsi"/>
        </w:rPr>
        <w:t xml:space="preserve">are less easy to verbalise, the written accompaniment </w:t>
      </w:r>
      <w:r w:rsidR="00195DBD">
        <w:rPr>
          <w:rFonts w:cstheme="minorHAnsi"/>
        </w:rPr>
        <w:t xml:space="preserve">can sometimes </w:t>
      </w:r>
      <w:r w:rsidRPr="004E22A9">
        <w:rPr>
          <w:rFonts w:cstheme="minorHAnsi"/>
        </w:rPr>
        <w:t xml:space="preserve">provide a short-hand or summary of some of the theoretical </w:t>
      </w:r>
      <w:r w:rsidR="009A6FCA" w:rsidRPr="004E22A9">
        <w:rPr>
          <w:rFonts w:cstheme="minorHAnsi"/>
        </w:rPr>
        <w:t>tenets</w:t>
      </w:r>
      <w:r w:rsidR="002C22C8" w:rsidRPr="004E22A9">
        <w:rPr>
          <w:rFonts w:cstheme="minorHAnsi"/>
        </w:rPr>
        <w:t xml:space="preserve"> of</w:t>
      </w:r>
      <w:r w:rsidRPr="004E22A9">
        <w:rPr>
          <w:rFonts w:cstheme="minorHAnsi"/>
        </w:rPr>
        <w:t xml:space="preserve"> the work. </w:t>
      </w:r>
      <w:r w:rsidR="00130C4F">
        <w:rPr>
          <w:rFonts w:cstheme="minorHAnsi"/>
        </w:rPr>
        <w:t xml:space="preserve">This is part of the concertina effect </w:t>
      </w:r>
      <w:r w:rsidR="00EB6312">
        <w:rPr>
          <w:rFonts w:cstheme="minorHAnsi"/>
        </w:rPr>
        <w:t xml:space="preserve">where although we might refer to a text to glean more understanding of the work of art it is the final encounter with the work itself that confirms or denies this textual reading. </w:t>
      </w:r>
      <w:r w:rsidR="00195DBD">
        <w:rPr>
          <w:rFonts w:cstheme="minorHAnsi"/>
        </w:rPr>
        <w:t>In many cases, especially where the placement of work in a specific location has affected how the artist has configured the characteristics of the artwork</w:t>
      </w:r>
      <w:r w:rsidR="00241AF1">
        <w:rPr>
          <w:rFonts w:cstheme="minorHAnsi"/>
        </w:rPr>
        <w:t>,</w:t>
      </w:r>
      <w:r w:rsidR="00195DBD">
        <w:rPr>
          <w:rFonts w:cstheme="minorHAnsi"/>
        </w:rPr>
        <w:t xml:space="preserve"> </w:t>
      </w:r>
      <w:r w:rsidR="00EB6312">
        <w:rPr>
          <w:rFonts w:cstheme="minorHAnsi"/>
        </w:rPr>
        <w:t>there may be aspects of it that can only fully be realised through our physical encounter with it</w:t>
      </w:r>
      <w:r w:rsidR="00195DBD">
        <w:rPr>
          <w:rFonts w:cstheme="minorHAnsi"/>
        </w:rPr>
        <w:t xml:space="preserve"> in situ</w:t>
      </w:r>
      <w:r w:rsidR="00EB6312">
        <w:rPr>
          <w:rFonts w:cstheme="minorHAnsi"/>
        </w:rPr>
        <w:t xml:space="preserve">. </w:t>
      </w:r>
      <w:r w:rsidR="00195DBD">
        <w:rPr>
          <w:rFonts w:cstheme="minorHAnsi"/>
        </w:rPr>
        <w:t xml:space="preserve">In the case of </w:t>
      </w:r>
      <w:r w:rsidR="00195DBD" w:rsidRPr="00773D4E">
        <w:rPr>
          <w:rFonts w:cstheme="minorHAnsi"/>
          <w:i/>
        </w:rPr>
        <w:t>“Let’s get comfortable”</w:t>
      </w:r>
      <w:r w:rsidR="00195DBD">
        <w:rPr>
          <w:rFonts w:cstheme="minorHAnsi"/>
        </w:rPr>
        <w:t xml:space="preserve"> a specific form of writing helped to understand and elucidate these physical attributes during their construction – the Reflective Journal.</w:t>
      </w:r>
    </w:p>
    <w:p w14:paraId="1099F54E" w14:textId="77777777" w:rsidR="00A05AE1" w:rsidRPr="004E22A9" w:rsidRDefault="00A05AE1" w:rsidP="003A0306">
      <w:pPr>
        <w:spacing w:after="0" w:line="240" w:lineRule="auto"/>
        <w:rPr>
          <w:rFonts w:cstheme="minorHAnsi"/>
        </w:rPr>
      </w:pPr>
    </w:p>
    <w:p w14:paraId="27BDF5E2" w14:textId="7031B53E" w:rsidR="00150666" w:rsidRPr="004E22A9" w:rsidRDefault="00150666" w:rsidP="003A0306">
      <w:pPr>
        <w:spacing w:after="0" w:line="240" w:lineRule="auto"/>
        <w:outlineLvl w:val="0"/>
        <w:rPr>
          <w:rFonts w:cstheme="minorHAnsi"/>
          <w:b/>
        </w:rPr>
      </w:pPr>
      <w:r w:rsidRPr="004E22A9">
        <w:rPr>
          <w:rFonts w:cstheme="minorHAnsi"/>
          <w:b/>
        </w:rPr>
        <w:t xml:space="preserve">Reflective </w:t>
      </w:r>
      <w:r w:rsidR="00195DBD">
        <w:rPr>
          <w:rFonts w:cstheme="minorHAnsi"/>
          <w:b/>
        </w:rPr>
        <w:t>T</w:t>
      </w:r>
      <w:r w:rsidRPr="004E22A9">
        <w:rPr>
          <w:rFonts w:cstheme="minorHAnsi"/>
          <w:b/>
        </w:rPr>
        <w:t>ext</w:t>
      </w:r>
    </w:p>
    <w:p w14:paraId="3D8EB8B7" w14:textId="42B7796A" w:rsidR="00150666" w:rsidRPr="004E22A9" w:rsidRDefault="00195DBD" w:rsidP="00150666">
      <w:pPr>
        <w:spacing w:after="0" w:line="240" w:lineRule="auto"/>
        <w:rPr>
          <w:rFonts w:cstheme="minorHAnsi"/>
          <w:strike/>
        </w:rPr>
      </w:pPr>
      <w:r>
        <w:rPr>
          <w:rFonts w:cstheme="minorHAnsi"/>
        </w:rPr>
        <w:t xml:space="preserve">Students at many levels of education are expected to provide written reflection on their work, and </w:t>
      </w:r>
      <w:r w:rsidR="00EB6312">
        <w:rPr>
          <w:rFonts w:cstheme="minorHAnsi"/>
        </w:rPr>
        <w:t>critical</w:t>
      </w:r>
      <w:r w:rsidR="00EB6312" w:rsidRPr="004E22A9">
        <w:rPr>
          <w:rFonts w:cstheme="minorHAnsi"/>
        </w:rPr>
        <w:t xml:space="preserve"> </w:t>
      </w:r>
      <w:r w:rsidR="00150666" w:rsidRPr="004E22A9">
        <w:rPr>
          <w:rFonts w:cstheme="minorHAnsi"/>
        </w:rPr>
        <w:t xml:space="preserve">reflection </w:t>
      </w:r>
      <w:r w:rsidR="00A05AE1">
        <w:rPr>
          <w:rFonts w:cstheme="minorHAnsi"/>
        </w:rPr>
        <w:t xml:space="preserve">was found </w:t>
      </w:r>
      <w:r>
        <w:rPr>
          <w:rFonts w:cstheme="minorHAnsi"/>
        </w:rPr>
        <w:t>to be</w:t>
      </w:r>
      <w:r w:rsidR="00150666" w:rsidRPr="004E22A9">
        <w:rPr>
          <w:rFonts w:cstheme="minorHAnsi"/>
        </w:rPr>
        <w:t xml:space="preserve"> crucial in illuminating the relationship between theoretical positions and making within </w:t>
      </w:r>
      <w:r>
        <w:rPr>
          <w:rFonts w:cstheme="minorHAnsi"/>
        </w:rPr>
        <w:t xml:space="preserve">my </w:t>
      </w:r>
      <w:r w:rsidR="00451D0B" w:rsidRPr="004E22A9">
        <w:rPr>
          <w:rFonts w:cstheme="minorHAnsi"/>
        </w:rPr>
        <w:t>Ph.D.</w:t>
      </w:r>
      <w:r w:rsidR="00150666" w:rsidRPr="004E22A9">
        <w:rPr>
          <w:rFonts w:cstheme="minorHAnsi"/>
        </w:rPr>
        <w:t xml:space="preserve"> Reflective practice or ‘reflection-in-action’ (</w:t>
      </w:r>
      <w:proofErr w:type="spellStart"/>
      <w:r w:rsidR="00150666" w:rsidRPr="004E22A9">
        <w:rPr>
          <w:rFonts w:cstheme="minorHAnsi"/>
        </w:rPr>
        <w:t>Schön</w:t>
      </w:r>
      <w:proofErr w:type="spellEnd"/>
      <w:r w:rsidR="00150666" w:rsidRPr="004E22A9">
        <w:rPr>
          <w:rFonts w:cstheme="minorHAnsi"/>
        </w:rPr>
        <w:t xml:space="preserve"> 1983) is a means of deconstructing the relationship between so-called ‘academic’ and practice-based knowledge</w:t>
      </w:r>
      <w:r w:rsidR="00EB6312">
        <w:rPr>
          <w:rFonts w:cstheme="minorHAnsi"/>
        </w:rPr>
        <w:t>, and can reveal technical, practical and critical engagement.</w:t>
      </w:r>
      <w:r w:rsidR="00150666" w:rsidRPr="004E22A9">
        <w:rPr>
          <w:rFonts w:cstheme="minorHAnsi"/>
        </w:rPr>
        <w:t xml:space="preserve"> Reflection on the practice-based elements of my research was undertaken through documenting ongoing work-in-progress photographically, testing through exhibition, </w:t>
      </w:r>
      <w:r w:rsidR="00130C4F">
        <w:rPr>
          <w:rFonts w:cstheme="minorHAnsi"/>
        </w:rPr>
        <w:t xml:space="preserve">daily or weekly written </w:t>
      </w:r>
      <w:r w:rsidR="00A05AE1">
        <w:rPr>
          <w:rFonts w:cstheme="minorHAnsi"/>
        </w:rPr>
        <w:t>j</w:t>
      </w:r>
      <w:r>
        <w:rPr>
          <w:rFonts w:cstheme="minorHAnsi"/>
        </w:rPr>
        <w:t>ournal</w:t>
      </w:r>
      <w:r w:rsidR="00150666" w:rsidRPr="004E22A9">
        <w:rPr>
          <w:rFonts w:cstheme="minorHAnsi"/>
        </w:rPr>
        <w:t xml:space="preserve"> </w:t>
      </w:r>
      <w:r>
        <w:rPr>
          <w:rFonts w:cstheme="minorHAnsi"/>
        </w:rPr>
        <w:t xml:space="preserve">entries </w:t>
      </w:r>
      <w:r w:rsidR="00150666" w:rsidRPr="004E22A9">
        <w:rPr>
          <w:rFonts w:cstheme="minorHAnsi"/>
        </w:rPr>
        <w:t xml:space="preserve">and through the writing of the thesis. What became clear </w:t>
      </w:r>
      <w:r w:rsidR="00130C4F">
        <w:rPr>
          <w:rFonts w:cstheme="minorHAnsi"/>
        </w:rPr>
        <w:t xml:space="preserve">to me </w:t>
      </w:r>
      <w:r w:rsidR="00150666" w:rsidRPr="004E22A9">
        <w:rPr>
          <w:rFonts w:cstheme="minorHAnsi"/>
        </w:rPr>
        <w:t>is the way that the often dichotomized relationship between theory and practice is in fact a</w:t>
      </w:r>
      <w:r w:rsidR="00130C4F">
        <w:rPr>
          <w:rFonts w:cstheme="minorHAnsi"/>
        </w:rPr>
        <w:t xml:space="preserve"> highly</w:t>
      </w:r>
      <w:r w:rsidR="00150666" w:rsidRPr="004E22A9">
        <w:rPr>
          <w:rFonts w:cstheme="minorHAnsi"/>
        </w:rPr>
        <w:t xml:space="preserve"> complex process. </w:t>
      </w:r>
    </w:p>
    <w:p w14:paraId="2751279D" w14:textId="77777777" w:rsidR="00150666" w:rsidRPr="004E22A9" w:rsidRDefault="00150666" w:rsidP="00150666">
      <w:pPr>
        <w:spacing w:after="0" w:line="240" w:lineRule="auto"/>
        <w:rPr>
          <w:rFonts w:cstheme="minorHAnsi"/>
        </w:rPr>
      </w:pPr>
    </w:p>
    <w:p w14:paraId="6F69716C" w14:textId="5BC6D26B" w:rsidR="00150666" w:rsidRPr="004E22A9" w:rsidRDefault="00150666" w:rsidP="00150666">
      <w:pPr>
        <w:spacing w:after="0" w:line="240" w:lineRule="auto"/>
        <w:rPr>
          <w:rFonts w:cstheme="minorHAnsi"/>
        </w:rPr>
      </w:pPr>
      <w:r w:rsidRPr="004E22A9">
        <w:rPr>
          <w:rFonts w:cstheme="minorHAnsi"/>
        </w:rPr>
        <w:t xml:space="preserve">The </w:t>
      </w:r>
      <w:r w:rsidR="00195DBD">
        <w:rPr>
          <w:rFonts w:cstheme="minorHAnsi"/>
        </w:rPr>
        <w:t>R</w:t>
      </w:r>
      <w:r w:rsidRPr="004E22A9">
        <w:rPr>
          <w:rFonts w:cstheme="minorHAnsi"/>
        </w:rPr>
        <w:t xml:space="preserve">eflective </w:t>
      </w:r>
      <w:r w:rsidR="00195DBD">
        <w:rPr>
          <w:rFonts w:cstheme="minorHAnsi"/>
        </w:rPr>
        <w:t>J</w:t>
      </w:r>
      <w:r w:rsidRPr="004E22A9">
        <w:rPr>
          <w:rFonts w:cstheme="minorHAnsi"/>
        </w:rPr>
        <w:t xml:space="preserve">ournal interrupted the process of making in a constructive way, prompting me to pause and address the actuality of what was being made. </w:t>
      </w:r>
      <w:r w:rsidR="00EB6312">
        <w:rPr>
          <w:rFonts w:cstheme="minorHAnsi"/>
        </w:rPr>
        <w:t>For example, r</w:t>
      </w:r>
      <w:r w:rsidR="00EB6312" w:rsidRPr="004E22A9">
        <w:rPr>
          <w:rFonts w:cstheme="minorHAnsi"/>
        </w:rPr>
        <w:t xml:space="preserve">ecording the work as it was being made exposed aspects of it that became obscured or hidden in its final version or in subsequent iterations of it. </w:t>
      </w:r>
      <w:r w:rsidR="00EB6312">
        <w:rPr>
          <w:rFonts w:cstheme="minorHAnsi"/>
        </w:rPr>
        <w:t xml:space="preserve"> </w:t>
      </w:r>
      <w:r w:rsidRPr="004E22A9">
        <w:rPr>
          <w:rFonts w:cstheme="minorHAnsi"/>
        </w:rPr>
        <w:t xml:space="preserve">Often the simple process of describing the work acted as a trigger for the next stage or highlighted an aspect that did not serve </w:t>
      </w:r>
      <w:r w:rsidR="00130C4F">
        <w:rPr>
          <w:rFonts w:cstheme="minorHAnsi"/>
        </w:rPr>
        <w:t>my</w:t>
      </w:r>
      <w:r w:rsidRPr="004E22A9">
        <w:rPr>
          <w:rFonts w:cstheme="minorHAnsi"/>
        </w:rPr>
        <w:t xml:space="preserve"> enquiry. It also ran parallel with the writing of the thesis, allowing for connections to the theoretical reading to be made. Here is a quote from </w:t>
      </w:r>
      <w:r w:rsidR="00130C4F">
        <w:rPr>
          <w:rFonts w:cstheme="minorHAnsi"/>
        </w:rPr>
        <w:t xml:space="preserve">my </w:t>
      </w:r>
      <w:r w:rsidR="00195DBD">
        <w:rPr>
          <w:rFonts w:cstheme="minorHAnsi"/>
        </w:rPr>
        <w:t>R</w:t>
      </w:r>
      <w:r w:rsidRPr="004E22A9">
        <w:rPr>
          <w:rFonts w:cstheme="minorHAnsi"/>
        </w:rPr>
        <w:t xml:space="preserve">eflective </w:t>
      </w:r>
      <w:r w:rsidR="00195DBD">
        <w:rPr>
          <w:rFonts w:cstheme="minorHAnsi"/>
        </w:rPr>
        <w:t>J</w:t>
      </w:r>
      <w:r w:rsidRPr="004E22A9">
        <w:rPr>
          <w:rFonts w:cstheme="minorHAnsi"/>
        </w:rPr>
        <w:t>ournal dated January 2013:</w:t>
      </w:r>
    </w:p>
    <w:p w14:paraId="53758E9F" w14:textId="77777777" w:rsidR="005F5467" w:rsidRPr="004E22A9" w:rsidRDefault="005F5467" w:rsidP="00150666">
      <w:pPr>
        <w:spacing w:after="0" w:line="240" w:lineRule="auto"/>
        <w:rPr>
          <w:rFonts w:cstheme="minorHAnsi"/>
        </w:rPr>
      </w:pPr>
    </w:p>
    <w:p w14:paraId="3B312FB3" w14:textId="75833DCA" w:rsidR="00150666" w:rsidRPr="004E22A9" w:rsidRDefault="00150666" w:rsidP="00150666">
      <w:pPr>
        <w:spacing w:after="0" w:line="240" w:lineRule="auto"/>
        <w:ind w:left="720"/>
        <w:rPr>
          <w:rFonts w:cstheme="minorHAnsi"/>
        </w:rPr>
      </w:pPr>
      <w:r w:rsidRPr="004E22A9">
        <w:rPr>
          <w:rFonts w:cstheme="minorHAnsi"/>
        </w:rPr>
        <w:t>[</w:t>
      </w:r>
      <w:proofErr w:type="gramStart"/>
      <w:r w:rsidRPr="004E22A9">
        <w:rPr>
          <w:rFonts w:cstheme="minorHAnsi"/>
        </w:rPr>
        <w:t>sculptures</w:t>
      </w:r>
      <w:proofErr w:type="gramEnd"/>
      <w:r w:rsidRPr="004E22A9">
        <w:rPr>
          <w:rFonts w:cstheme="minorHAnsi"/>
        </w:rPr>
        <w:t xml:space="preserve"> that look like] cushions made for the reception area of Aviva. How will these work? They are not cushions that would normally be seen here – they are mismatched with the black leather sofas and with each other. They are not for sale, so they have no value in terms of commodity or exchange. Any ‘exchange’ is in terms of an </w:t>
      </w:r>
      <w:r w:rsidRPr="004E22A9">
        <w:rPr>
          <w:rFonts w:cstheme="minorHAnsi"/>
          <w:i/>
        </w:rPr>
        <w:t>experience</w:t>
      </w:r>
      <w:r w:rsidRPr="004E22A9">
        <w:rPr>
          <w:rFonts w:cstheme="minorHAnsi"/>
        </w:rPr>
        <w:t>; they may give more or additional comfort; they may give cause for thought – why are they here? Why are they so big? Why use these fabrics? …….The</w:t>
      </w:r>
      <w:r w:rsidR="000A2733">
        <w:rPr>
          <w:rFonts w:cstheme="minorHAnsi"/>
        </w:rPr>
        <w:t xml:space="preserve"> [pieces]</w:t>
      </w:r>
      <w:r w:rsidRPr="004E22A9">
        <w:rPr>
          <w:rFonts w:cstheme="minorHAnsi"/>
        </w:rPr>
        <w:t xml:space="preserve"> are transitory, like the people who sit with them. </w:t>
      </w:r>
    </w:p>
    <w:p w14:paraId="69902F3D" w14:textId="77777777" w:rsidR="00EB6312" w:rsidRDefault="00EB6312" w:rsidP="00150666">
      <w:pPr>
        <w:spacing w:after="0" w:line="240" w:lineRule="auto"/>
        <w:rPr>
          <w:rFonts w:cstheme="minorHAnsi"/>
        </w:rPr>
      </w:pPr>
    </w:p>
    <w:p w14:paraId="35EC3F45" w14:textId="1244ED31" w:rsidR="00150666" w:rsidRPr="004E22A9" w:rsidRDefault="00150666" w:rsidP="00150666">
      <w:pPr>
        <w:spacing w:after="0" w:line="240" w:lineRule="auto"/>
        <w:rPr>
          <w:rFonts w:cstheme="minorHAnsi"/>
        </w:rPr>
      </w:pPr>
      <w:r w:rsidRPr="004E22A9">
        <w:rPr>
          <w:rFonts w:cstheme="minorHAnsi"/>
        </w:rPr>
        <w:t xml:space="preserve">Many of these questions or observations were expanded upon in Volume One of the thesis. In some cases the practice provoked the questions, but with the question of exchange and value it was the texts I was reading concurrently on Marx and the commodity that elicited this thought. This example shows the theory and practice working symbiotically within </w:t>
      </w:r>
      <w:r w:rsidRPr="004E22A9">
        <w:rPr>
          <w:rFonts w:cstheme="minorHAnsi"/>
        </w:rPr>
        <w:lastRenderedPageBreak/>
        <w:t xml:space="preserve">the overall research and exemplified the value of reflective practice. It also demonstrated the way in which the </w:t>
      </w:r>
      <w:r w:rsidRPr="004E22A9">
        <w:rPr>
          <w:rFonts w:cstheme="minorHAnsi"/>
          <w:i/>
        </w:rPr>
        <w:t>process</w:t>
      </w:r>
      <w:r w:rsidRPr="004E22A9">
        <w:rPr>
          <w:rFonts w:cstheme="minorHAnsi"/>
        </w:rPr>
        <w:t xml:space="preserve"> of making the work, and not just the final outcomes, was itself revealing something about the research question. The quotes from the Reflective Journal were used alongside the images in Volume Two where appropriate to reinforce connections either to relevant theoretical references or the site in which the work was placed.</w:t>
      </w:r>
      <w:r w:rsidR="00353ECB">
        <w:rPr>
          <w:rFonts w:cstheme="minorHAnsi"/>
        </w:rPr>
        <w:t xml:space="preserve"> </w:t>
      </w:r>
      <w:r w:rsidR="00EB6312">
        <w:rPr>
          <w:rFonts w:cstheme="minorHAnsi"/>
        </w:rPr>
        <w:t xml:space="preserve">Again, there was a </w:t>
      </w:r>
      <w:r w:rsidR="00195DBD">
        <w:rPr>
          <w:rFonts w:cstheme="minorHAnsi"/>
        </w:rPr>
        <w:t xml:space="preserve">switching </w:t>
      </w:r>
      <w:r w:rsidR="00EB6312">
        <w:rPr>
          <w:rFonts w:cstheme="minorHAnsi"/>
        </w:rPr>
        <w:t>between writing and making</w:t>
      </w:r>
      <w:r w:rsidR="00195DBD">
        <w:rPr>
          <w:rFonts w:cstheme="minorHAnsi"/>
        </w:rPr>
        <w:t>,</w:t>
      </w:r>
      <w:r w:rsidR="00EB6312">
        <w:rPr>
          <w:rFonts w:cstheme="minorHAnsi"/>
        </w:rPr>
        <w:t xml:space="preserve"> made evident in the way Volume 2 was presented with text on one side of the page and image</w:t>
      </w:r>
      <w:r w:rsidR="00195DBD">
        <w:rPr>
          <w:rFonts w:cstheme="minorHAnsi"/>
        </w:rPr>
        <w:t>s</w:t>
      </w:r>
      <w:r w:rsidR="00EB6312">
        <w:rPr>
          <w:rFonts w:cstheme="minorHAnsi"/>
        </w:rPr>
        <w:t xml:space="preserve"> on the other (Figure </w:t>
      </w:r>
      <w:r w:rsidR="00A05AE1">
        <w:rPr>
          <w:rFonts w:cstheme="minorHAnsi"/>
        </w:rPr>
        <w:t>5</w:t>
      </w:r>
      <w:r w:rsidR="00EB6312">
        <w:rPr>
          <w:rFonts w:cstheme="minorHAnsi"/>
        </w:rPr>
        <w:t>).</w:t>
      </w:r>
    </w:p>
    <w:p w14:paraId="50BE187B" w14:textId="17DF3D97" w:rsidR="00150666" w:rsidRDefault="00150666" w:rsidP="00E63DEF">
      <w:pPr>
        <w:spacing w:after="0" w:line="240" w:lineRule="auto"/>
        <w:rPr>
          <w:rFonts w:cstheme="minorHAnsi"/>
        </w:rPr>
      </w:pPr>
    </w:p>
    <w:p w14:paraId="6A4A9528" w14:textId="40C45B8B" w:rsidR="007C5B55" w:rsidRDefault="007C5B55" w:rsidP="00E63DEF">
      <w:pPr>
        <w:spacing w:after="0" w:line="240" w:lineRule="auto"/>
        <w:rPr>
          <w:rFonts w:cstheme="minorHAnsi"/>
        </w:rPr>
      </w:pPr>
      <w:r>
        <w:rPr>
          <w:rFonts w:cstheme="minorHAnsi"/>
          <w:noProof/>
          <w:lang w:eastAsia="en-GB"/>
        </w:rPr>
        <w:drawing>
          <wp:inline distT="0" distB="0" distL="0" distR="0" wp14:anchorId="687D5B95" wp14:editId="4DBE270C">
            <wp:extent cx="5727700" cy="2910205"/>
            <wp:effectExtent l="0" t="0" r="6350" b="4445"/>
            <wp:docPr id="5" name="Picture 5" descr="A picture containing indoor,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hesis3.jpg"/>
                    <pic:cNvPicPr/>
                  </pic:nvPicPr>
                  <pic:blipFill>
                    <a:blip r:embed="rId15">
                      <a:extLst>
                        <a:ext uri="{BEBA8EAE-BF5A-486C-A8C5-ECC9F3942E4B}">
                          <a14:imgProps xmlns:a14="http://schemas.microsoft.com/office/drawing/2010/main">
                            <a14:imgLayer r:embed="rId16">
                              <a14:imgEffect>
                                <a14:brightnessContrast bright="25000"/>
                              </a14:imgEffect>
                            </a14:imgLayer>
                          </a14:imgProps>
                        </a:ext>
                      </a:extLst>
                    </a:blip>
                    <a:stretch>
                      <a:fillRect/>
                    </a:stretch>
                  </pic:blipFill>
                  <pic:spPr>
                    <a:xfrm>
                      <a:off x="0" y="0"/>
                      <a:ext cx="5727700" cy="2910205"/>
                    </a:xfrm>
                    <a:prstGeom prst="rect">
                      <a:avLst/>
                    </a:prstGeom>
                  </pic:spPr>
                </pic:pic>
              </a:graphicData>
            </a:graphic>
          </wp:inline>
        </w:drawing>
      </w:r>
    </w:p>
    <w:p w14:paraId="47F8B4DE" w14:textId="7AAAF75B" w:rsidR="007C5B55" w:rsidRDefault="007C5B55" w:rsidP="00E63DEF">
      <w:pPr>
        <w:spacing w:after="0" w:line="240" w:lineRule="auto"/>
        <w:rPr>
          <w:rFonts w:cstheme="minorHAnsi"/>
        </w:rPr>
      </w:pPr>
      <w:r>
        <w:rPr>
          <w:rFonts w:cstheme="minorHAnsi"/>
        </w:rPr>
        <w:t xml:space="preserve">Figure </w:t>
      </w:r>
      <w:r w:rsidR="000A2733">
        <w:rPr>
          <w:rFonts w:cstheme="minorHAnsi"/>
        </w:rPr>
        <w:t>5</w:t>
      </w:r>
      <w:r>
        <w:rPr>
          <w:rFonts w:cstheme="minorHAnsi"/>
        </w:rPr>
        <w:t xml:space="preserve">: </w:t>
      </w:r>
      <w:r w:rsidR="00E45983">
        <w:rPr>
          <w:rFonts w:cstheme="minorHAnsi"/>
        </w:rPr>
        <w:t xml:space="preserve">Volume 2 of the thesis showing a double-page spread where images of the practical work </w:t>
      </w:r>
      <w:r w:rsidR="00195DBD">
        <w:rPr>
          <w:rFonts w:cstheme="minorHAnsi"/>
        </w:rPr>
        <w:t>are</w:t>
      </w:r>
      <w:r w:rsidR="00E45983">
        <w:rPr>
          <w:rFonts w:cstheme="minorHAnsi"/>
        </w:rPr>
        <w:t xml:space="preserve"> presented on the right-hand page with its theoretical implications indicated in the Reflective Journal quotes printed on the left. © Horton 2018</w:t>
      </w:r>
    </w:p>
    <w:p w14:paraId="1AE2FE66" w14:textId="77777777" w:rsidR="007C5B55" w:rsidRPr="004E22A9" w:rsidRDefault="007C5B55" w:rsidP="00E63DEF">
      <w:pPr>
        <w:spacing w:after="0" w:line="240" w:lineRule="auto"/>
        <w:rPr>
          <w:rFonts w:cstheme="minorHAnsi"/>
        </w:rPr>
      </w:pPr>
    </w:p>
    <w:p w14:paraId="7CB9DFFE" w14:textId="01D31FC5" w:rsidR="00137732" w:rsidRPr="004E22A9" w:rsidRDefault="00137732" w:rsidP="00137732">
      <w:pPr>
        <w:spacing w:after="0" w:line="240" w:lineRule="auto"/>
        <w:rPr>
          <w:rFonts w:cstheme="minorHAnsi"/>
          <w:b/>
        </w:rPr>
      </w:pPr>
      <w:r w:rsidRPr="004E22A9">
        <w:rPr>
          <w:rFonts w:cstheme="minorHAnsi"/>
          <w:b/>
        </w:rPr>
        <w:t>Summary</w:t>
      </w:r>
    </w:p>
    <w:p w14:paraId="5F39FDB3" w14:textId="00086349" w:rsidR="006C56D8" w:rsidRDefault="006D2159" w:rsidP="00B76CF0">
      <w:pPr>
        <w:spacing w:after="0" w:line="240" w:lineRule="auto"/>
        <w:rPr>
          <w:rFonts w:cstheme="minorHAnsi"/>
        </w:rPr>
      </w:pPr>
      <w:r>
        <w:rPr>
          <w:rFonts w:cstheme="minorHAnsi"/>
        </w:rPr>
        <w:t>In this article I have explored the positive roles that written document</w:t>
      </w:r>
      <w:r w:rsidR="004C2156">
        <w:rPr>
          <w:rFonts w:cstheme="minorHAnsi"/>
        </w:rPr>
        <w:t>s</w:t>
      </w:r>
      <w:r>
        <w:rPr>
          <w:rFonts w:cstheme="minorHAnsi"/>
        </w:rPr>
        <w:t xml:space="preserve"> can have in maintaining a concertina-like relationship between theory and making in a practice-led research project. I have argued </w:t>
      </w:r>
      <w:r w:rsidR="00150666" w:rsidRPr="00E9732E">
        <w:rPr>
          <w:rFonts w:cstheme="minorHAnsi"/>
        </w:rPr>
        <w:t>t</w:t>
      </w:r>
      <w:r w:rsidR="007057F4" w:rsidRPr="00E9732E">
        <w:rPr>
          <w:rFonts w:cstheme="minorHAnsi"/>
        </w:rPr>
        <w:t xml:space="preserve">hat </w:t>
      </w:r>
      <w:r w:rsidR="00835791" w:rsidRPr="00E9732E">
        <w:rPr>
          <w:rFonts w:cstheme="minorHAnsi"/>
        </w:rPr>
        <w:t xml:space="preserve">text and visuals </w:t>
      </w:r>
      <w:r w:rsidR="007057F4" w:rsidRPr="00E9732E">
        <w:rPr>
          <w:rFonts w:cstheme="minorHAnsi"/>
        </w:rPr>
        <w:t xml:space="preserve">should </w:t>
      </w:r>
      <w:r w:rsidR="00150666" w:rsidRPr="00E9732E">
        <w:rPr>
          <w:rFonts w:cstheme="minorHAnsi"/>
        </w:rPr>
        <w:t xml:space="preserve">not </w:t>
      </w:r>
      <w:r w:rsidR="007057F4" w:rsidRPr="00E9732E">
        <w:rPr>
          <w:rFonts w:cstheme="minorHAnsi"/>
        </w:rPr>
        <w:t xml:space="preserve">be seen </w:t>
      </w:r>
      <w:r w:rsidR="00150666" w:rsidRPr="00E9732E">
        <w:rPr>
          <w:rFonts w:cstheme="minorHAnsi"/>
        </w:rPr>
        <w:t xml:space="preserve">as </w:t>
      </w:r>
      <w:proofErr w:type="gramStart"/>
      <w:r w:rsidR="00835791" w:rsidRPr="00E9732E">
        <w:rPr>
          <w:rFonts w:cstheme="minorHAnsi"/>
        </w:rPr>
        <w:t>an</w:t>
      </w:r>
      <w:proofErr w:type="gramEnd"/>
      <w:r w:rsidR="00835791" w:rsidRPr="00E9732E">
        <w:rPr>
          <w:rFonts w:cstheme="minorHAnsi"/>
        </w:rPr>
        <w:t xml:space="preserve"> either/or option </w:t>
      </w:r>
      <w:r w:rsidR="00150666" w:rsidRPr="00E9732E">
        <w:rPr>
          <w:rFonts w:cstheme="minorHAnsi"/>
        </w:rPr>
        <w:t xml:space="preserve">but as a continuum in which </w:t>
      </w:r>
      <w:r w:rsidR="00835791" w:rsidRPr="00E9732E">
        <w:rPr>
          <w:rFonts w:cstheme="minorHAnsi"/>
        </w:rPr>
        <w:t xml:space="preserve">the text can give greater </w:t>
      </w:r>
      <w:r w:rsidR="00150666" w:rsidRPr="00E9732E">
        <w:rPr>
          <w:rFonts w:cstheme="minorHAnsi"/>
        </w:rPr>
        <w:t xml:space="preserve">understanding </w:t>
      </w:r>
      <w:r w:rsidR="00835791" w:rsidRPr="00E9732E">
        <w:rPr>
          <w:rFonts w:cstheme="minorHAnsi"/>
        </w:rPr>
        <w:t xml:space="preserve">to the visuals, </w:t>
      </w:r>
      <w:r w:rsidR="00593C65" w:rsidRPr="00E9732E">
        <w:rPr>
          <w:rFonts w:cstheme="minorHAnsi"/>
        </w:rPr>
        <w:t>and where</w:t>
      </w:r>
      <w:r w:rsidR="00150666" w:rsidRPr="00E9732E">
        <w:rPr>
          <w:rFonts w:cstheme="minorHAnsi"/>
        </w:rPr>
        <w:t xml:space="preserve"> the physical aspects of the works themselves, in combination with their environment, embody a language and intellectuality of their own. </w:t>
      </w:r>
      <w:r w:rsidR="007057F4" w:rsidRPr="00E9732E">
        <w:rPr>
          <w:rFonts w:cstheme="minorHAnsi"/>
        </w:rPr>
        <w:t xml:space="preserve">Through the writing of the thesis and </w:t>
      </w:r>
      <w:r w:rsidR="00195DBD">
        <w:rPr>
          <w:rFonts w:cstheme="minorHAnsi"/>
        </w:rPr>
        <w:t>R</w:t>
      </w:r>
      <w:r w:rsidR="007057F4" w:rsidRPr="00E9732E">
        <w:rPr>
          <w:rFonts w:cstheme="minorHAnsi"/>
        </w:rPr>
        <w:t xml:space="preserve">eflective </w:t>
      </w:r>
      <w:r w:rsidR="00195DBD">
        <w:rPr>
          <w:rFonts w:cstheme="minorHAnsi"/>
        </w:rPr>
        <w:t>J</w:t>
      </w:r>
      <w:r w:rsidR="007057F4" w:rsidRPr="00E9732E">
        <w:rPr>
          <w:rFonts w:cstheme="minorHAnsi"/>
        </w:rPr>
        <w:t xml:space="preserve">ournal </w:t>
      </w:r>
      <w:r w:rsidR="00835791" w:rsidRPr="00E9732E">
        <w:rPr>
          <w:rFonts w:cstheme="minorHAnsi"/>
        </w:rPr>
        <w:t xml:space="preserve">the visuals are </w:t>
      </w:r>
      <w:r w:rsidR="00150666" w:rsidRPr="00E9732E">
        <w:rPr>
          <w:rFonts w:cstheme="minorHAnsi"/>
        </w:rPr>
        <w:t xml:space="preserve">not </w:t>
      </w:r>
      <w:r w:rsidR="00835791" w:rsidRPr="00E9732E">
        <w:rPr>
          <w:rFonts w:cstheme="minorHAnsi"/>
        </w:rPr>
        <w:t>compromised or undermined</w:t>
      </w:r>
      <w:r w:rsidR="00150666" w:rsidRPr="00E9732E">
        <w:rPr>
          <w:rFonts w:cstheme="minorHAnsi"/>
        </w:rPr>
        <w:t xml:space="preserve"> but illuminated</w:t>
      </w:r>
      <w:r w:rsidR="00E45983">
        <w:rPr>
          <w:rFonts w:cstheme="minorHAnsi"/>
        </w:rPr>
        <w:t xml:space="preserve">. </w:t>
      </w:r>
      <w:r w:rsidR="00E9732E">
        <w:rPr>
          <w:rFonts w:cstheme="minorHAnsi"/>
        </w:rPr>
        <w:t>Equally</w:t>
      </w:r>
      <w:r w:rsidR="007057F4" w:rsidRPr="004E22A9">
        <w:rPr>
          <w:rFonts w:cstheme="minorHAnsi"/>
        </w:rPr>
        <w:t xml:space="preserve">, </w:t>
      </w:r>
      <w:r w:rsidR="00E63DEF" w:rsidRPr="004E22A9">
        <w:rPr>
          <w:rFonts w:cstheme="minorHAnsi"/>
        </w:rPr>
        <w:t>theoretical understanding</w:t>
      </w:r>
      <w:r w:rsidR="007057F4" w:rsidRPr="004E22A9">
        <w:rPr>
          <w:rFonts w:cstheme="minorHAnsi"/>
        </w:rPr>
        <w:t xml:space="preserve"> is</w:t>
      </w:r>
      <w:r w:rsidR="00E63DEF" w:rsidRPr="004E22A9">
        <w:rPr>
          <w:rFonts w:cstheme="minorHAnsi"/>
        </w:rPr>
        <w:t xml:space="preserve"> gleaned through</w:t>
      </w:r>
      <w:r w:rsidR="007057F4" w:rsidRPr="004E22A9">
        <w:rPr>
          <w:rFonts w:cstheme="minorHAnsi"/>
        </w:rPr>
        <w:t xml:space="preserve"> the ‘sticky’ processes of making where meaning is </w:t>
      </w:r>
      <w:r w:rsidR="00E63DEF" w:rsidRPr="004E22A9">
        <w:rPr>
          <w:rFonts w:cstheme="minorHAnsi"/>
        </w:rPr>
        <w:t xml:space="preserve">played out within the visual and haptic aspects of the </w:t>
      </w:r>
      <w:r w:rsidR="00593C65" w:rsidRPr="004E22A9">
        <w:rPr>
          <w:rFonts w:cstheme="minorHAnsi"/>
        </w:rPr>
        <w:t>work.</w:t>
      </w:r>
    </w:p>
    <w:p w14:paraId="46AD3D82" w14:textId="7F1D83D5" w:rsidR="00A87255" w:rsidRDefault="00A87255" w:rsidP="00B76CF0">
      <w:pPr>
        <w:spacing w:after="0" w:line="240" w:lineRule="auto"/>
        <w:rPr>
          <w:rFonts w:cstheme="minorHAnsi"/>
        </w:rPr>
      </w:pPr>
    </w:p>
    <w:p w14:paraId="2A5779E4" w14:textId="54493767" w:rsidR="00A87255" w:rsidRDefault="00A87255" w:rsidP="00B76CF0">
      <w:pPr>
        <w:spacing w:after="0" w:line="240" w:lineRule="auto"/>
        <w:rPr>
          <w:rFonts w:cstheme="minorHAnsi"/>
        </w:rPr>
      </w:pPr>
    </w:p>
    <w:p w14:paraId="628A1412" w14:textId="58EA669A" w:rsidR="00A87255" w:rsidRDefault="00A87255" w:rsidP="00B76CF0">
      <w:pPr>
        <w:spacing w:after="0" w:line="240" w:lineRule="auto"/>
        <w:rPr>
          <w:rFonts w:cstheme="minorHAnsi"/>
        </w:rPr>
      </w:pPr>
    </w:p>
    <w:p w14:paraId="3A4BE665" w14:textId="7079B491" w:rsidR="00852957" w:rsidRPr="004E22A9" w:rsidRDefault="00852957" w:rsidP="00B76CF0">
      <w:pPr>
        <w:spacing w:after="0" w:line="240" w:lineRule="auto"/>
        <w:rPr>
          <w:rFonts w:cstheme="minorHAnsi"/>
        </w:rPr>
      </w:pPr>
      <w:r w:rsidRPr="004E22A9">
        <w:rPr>
          <w:rFonts w:cstheme="minorHAnsi"/>
        </w:rPr>
        <w:br w:type="page"/>
      </w:r>
    </w:p>
    <w:p w14:paraId="0811167D" w14:textId="7F2574A6" w:rsidR="005B6032" w:rsidRPr="004E22A9" w:rsidRDefault="00852957" w:rsidP="00B76CF0">
      <w:pPr>
        <w:spacing w:after="0" w:line="240" w:lineRule="auto"/>
        <w:rPr>
          <w:rFonts w:cstheme="minorHAnsi"/>
          <w:b/>
        </w:rPr>
      </w:pPr>
      <w:r w:rsidRPr="004E22A9">
        <w:rPr>
          <w:rFonts w:cstheme="minorHAnsi"/>
          <w:b/>
        </w:rPr>
        <w:lastRenderedPageBreak/>
        <w:t>References</w:t>
      </w:r>
    </w:p>
    <w:p w14:paraId="6174B958" w14:textId="371D2E6F" w:rsidR="00425C4D" w:rsidRPr="004E22A9" w:rsidRDefault="00425C4D" w:rsidP="00B76CF0">
      <w:pPr>
        <w:pStyle w:val="FootnoteText"/>
        <w:rPr>
          <w:rFonts w:cstheme="minorHAnsi"/>
          <w:sz w:val="22"/>
          <w:szCs w:val="22"/>
        </w:rPr>
      </w:pPr>
      <w:r w:rsidRPr="004E22A9">
        <w:rPr>
          <w:rFonts w:cstheme="minorHAnsi"/>
          <w:sz w:val="22"/>
          <w:szCs w:val="22"/>
        </w:rPr>
        <w:t>Barthes, R</w:t>
      </w:r>
      <w:r w:rsidR="00451D0B" w:rsidRPr="004E22A9">
        <w:rPr>
          <w:rFonts w:cstheme="minorHAnsi"/>
          <w:sz w:val="22"/>
          <w:szCs w:val="22"/>
        </w:rPr>
        <w:t>oland</w:t>
      </w:r>
      <w:r w:rsidRPr="004E22A9">
        <w:rPr>
          <w:rFonts w:cstheme="minorHAnsi"/>
          <w:sz w:val="22"/>
          <w:szCs w:val="22"/>
        </w:rPr>
        <w:t xml:space="preserve"> (1977) </w:t>
      </w:r>
      <w:r w:rsidRPr="004E22A9">
        <w:rPr>
          <w:rFonts w:cstheme="minorHAnsi"/>
          <w:i/>
          <w:sz w:val="22"/>
          <w:szCs w:val="22"/>
        </w:rPr>
        <w:t>Image, Music, Text</w:t>
      </w:r>
      <w:r w:rsidRPr="004E22A9">
        <w:rPr>
          <w:rFonts w:cstheme="minorHAnsi"/>
          <w:sz w:val="22"/>
          <w:szCs w:val="22"/>
        </w:rPr>
        <w:t xml:space="preserve"> London: Fontana Press</w:t>
      </w:r>
      <w:r w:rsidR="0026349B">
        <w:rPr>
          <w:rFonts w:cstheme="minorHAnsi"/>
          <w:sz w:val="22"/>
          <w:szCs w:val="22"/>
        </w:rPr>
        <w:t>.</w:t>
      </w:r>
    </w:p>
    <w:p w14:paraId="0D971E98" w14:textId="08583D61" w:rsidR="005B6032" w:rsidRPr="004E22A9" w:rsidRDefault="00451D0B" w:rsidP="00B76CF0">
      <w:pPr>
        <w:pStyle w:val="FootnoteText"/>
        <w:rPr>
          <w:rFonts w:cstheme="minorHAnsi"/>
          <w:sz w:val="22"/>
          <w:szCs w:val="22"/>
        </w:rPr>
      </w:pPr>
      <w:r w:rsidRPr="004E22A9">
        <w:rPr>
          <w:rFonts w:cstheme="minorHAnsi"/>
          <w:sz w:val="22"/>
          <w:szCs w:val="22"/>
        </w:rPr>
        <w:t>Bourdieu, Pierre</w:t>
      </w:r>
      <w:r w:rsidR="005B6032" w:rsidRPr="004E22A9">
        <w:rPr>
          <w:rFonts w:cstheme="minorHAnsi"/>
          <w:sz w:val="22"/>
          <w:szCs w:val="22"/>
        </w:rPr>
        <w:t xml:space="preserve"> (1979) </w:t>
      </w:r>
      <w:r w:rsidR="005B6032" w:rsidRPr="004E22A9">
        <w:rPr>
          <w:rFonts w:cstheme="minorHAnsi"/>
          <w:i/>
          <w:sz w:val="22"/>
          <w:szCs w:val="22"/>
        </w:rPr>
        <w:t>Distinction:</w:t>
      </w:r>
      <w:r w:rsidR="005B6032" w:rsidRPr="004E22A9">
        <w:rPr>
          <w:rFonts w:cstheme="minorHAnsi"/>
          <w:sz w:val="22"/>
          <w:szCs w:val="22"/>
        </w:rPr>
        <w:t xml:space="preserve"> </w:t>
      </w:r>
      <w:r w:rsidR="005B6032" w:rsidRPr="004E22A9">
        <w:rPr>
          <w:rFonts w:cstheme="minorHAnsi"/>
          <w:i/>
          <w:sz w:val="22"/>
          <w:szCs w:val="22"/>
        </w:rPr>
        <w:t>A Social Critique of the Judgement of Taste</w:t>
      </w:r>
      <w:r w:rsidR="005B6032" w:rsidRPr="004E22A9">
        <w:rPr>
          <w:rFonts w:cstheme="minorHAnsi"/>
          <w:sz w:val="22"/>
          <w:szCs w:val="22"/>
        </w:rPr>
        <w:t xml:space="preserve"> translated by Nice, R. (1984). London: Routledge &amp; Kegan Paul Ltd</w:t>
      </w:r>
      <w:r w:rsidR="0026349B">
        <w:rPr>
          <w:rFonts w:cstheme="minorHAnsi"/>
          <w:sz w:val="22"/>
          <w:szCs w:val="22"/>
        </w:rPr>
        <w:t>.</w:t>
      </w:r>
    </w:p>
    <w:p w14:paraId="0DE2DD30" w14:textId="6F73F001" w:rsidR="005B6032" w:rsidRPr="004E22A9" w:rsidRDefault="005B6032" w:rsidP="00B76CF0">
      <w:pPr>
        <w:spacing w:after="0" w:line="240" w:lineRule="auto"/>
        <w:rPr>
          <w:rFonts w:cstheme="minorHAnsi"/>
        </w:rPr>
      </w:pPr>
      <w:r w:rsidRPr="004E22A9">
        <w:rPr>
          <w:rFonts w:cstheme="minorHAnsi"/>
        </w:rPr>
        <w:t>Brett, D</w:t>
      </w:r>
      <w:r w:rsidR="00451D0B" w:rsidRPr="004E22A9">
        <w:rPr>
          <w:rFonts w:cstheme="minorHAnsi"/>
        </w:rPr>
        <w:t>avid</w:t>
      </w:r>
      <w:r w:rsidRPr="004E22A9">
        <w:rPr>
          <w:rFonts w:cstheme="minorHAnsi"/>
        </w:rPr>
        <w:t xml:space="preserve"> (2005) </w:t>
      </w:r>
      <w:r w:rsidRPr="004E22A9">
        <w:rPr>
          <w:rFonts w:cstheme="minorHAnsi"/>
          <w:i/>
        </w:rPr>
        <w:t>Rethinking Decoration; Pleasure and Ideology in the Visual Arts.</w:t>
      </w:r>
      <w:r w:rsidRPr="004E22A9">
        <w:rPr>
          <w:rFonts w:cstheme="minorHAnsi"/>
        </w:rPr>
        <w:t xml:space="preserve"> New York: Cambridge University Press</w:t>
      </w:r>
      <w:r w:rsidR="0026349B">
        <w:rPr>
          <w:rFonts w:cstheme="minorHAnsi"/>
        </w:rPr>
        <w:t>.</w:t>
      </w:r>
    </w:p>
    <w:p w14:paraId="7DA7823D" w14:textId="0BE51C1B" w:rsidR="005B6032" w:rsidRPr="004E22A9" w:rsidRDefault="005B6032" w:rsidP="00B76CF0">
      <w:pPr>
        <w:spacing w:after="0" w:line="240" w:lineRule="auto"/>
        <w:rPr>
          <w:rFonts w:cstheme="minorHAnsi"/>
        </w:rPr>
      </w:pPr>
      <w:r w:rsidRPr="004E22A9">
        <w:rPr>
          <w:rFonts w:cstheme="minorHAnsi"/>
        </w:rPr>
        <w:t>Cummings, N</w:t>
      </w:r>
      <w:r w:rsidR="00451D0B" w:rsidRPr="004E22A9">
        <w:rPr>
          <w:rFonts w:cstheme="minorHAnsi"/>
        </w:rPr>
        <w:t>eil</w:t>
      </w:r>
      <w:r w:rsidRPr="004E22A9">
        <w:rPr>
          <w:rFonts w:cstheme="minorHAnsi"/>
        </w:rPr>
        <w:t xml:space="preserve"> and </w:t>
      </w:r>
      <w:proofErr w:type="spellStart"/>
      <w:r w:rsidRPr="004E22A9">
        <w:rPr>
          <w:rFonts w:cstheme="minorHAnsi"/>
        </w:rPr>
        <w:t>Lewandowska</w:t>
      </w:r>
      <w:proofErr w:type="spellEnd"/>
      <w:r w:rsidRPr="004E22A9">
        <w:rPr>
          <w:rFonts w:cstheme="minorHAnsi"/>
        </w:rPr>
        <w:t xml:space="preserve">, </w:t>
      </w:r>
      <w:proofErr w:type="spellStart"/>
      <w:r w:rsidRPr="004E22A9">
        <w:rPr>
          <w:rFonts w:cstheme="minorHAnsi"/>
        </w:rPr>
        <w:t>M</w:t>
      </w:r>
      <w:r w:rsidR="00451D0B" w:rsidRPr="004E22A9">
        <w:rPr>
          <w:rFonts w:cstheme="minorHAnsi"/>
        </w:rPr>
        <w:t>arysia</w:t>
      </w:r>
      <w:proofErr w:type="spellEnd"/>
      <w:r w:rsidRPr="004E22A9">
        <w:rPr>
          <w:rFonts w:cstheme="minorHAnsi"/>
        </w:rPr>
        <w:t xml:space="preserve"> (2006) ‘A Shadow of Marx’ in Jones A. (ed.) </w:t>
      </w:r>
      <w:r w:rsidRPr="004E22A9">
        <w:rPr>
          <w:rFonts w:cstheme="minorHAnsi"/>
          <w:i/>
        </w:rPr>
        <w:t xml:space="preserve">A Companion to Contemporary Art since 1945. </w:t>
      </w:r>
      <w:r w:rsidRPr="004E22A9">
        <w:rPr>
          <w:rFonts w:cstheme="minorHAnsi"/>
        </w:rPr>
        <w:t>Oxford: Blackwell</w:t>
      </w:r>
      <w:r w:rsidR="0026349B">
        <w:rPr>
          <w:rFonts w:cstheme="minorHAnsi"/>
        </w:rPr>
        <w:t>.</w:t>
      </w:r>
    </w:p>
    <w:p w14:paraId="0399C626" w14:textId="70380145" w:rsidR="005B6032" w:rsidRPr="004E22A9" w:rsidRDefault="005B6032" w:rsidP="00B76CF0">
      <w:pPr>
        <w:spacing w:after="0" w:line="240" w:lineRule="auto"/>
        <w:rPr>
          <w:rFonts w:cstheme="minorHAnsi"/>
        </w:rPr>
      </w:pPr>
      <w:r w:rsidRPr="004E22A9">
        <w:rPr>
          <w:rFonts w:cstheme="minorHAnsi"/>
        </w:rPr>
        <w:t xml:space="preserve">De </w:t>
      </w:r>
      <w:proofErr w:type="spellStart"/>
      <w:r w:rsidRPr="004E22A9">
        <w:rPr>
          <w:rFonts w:cstheme="minorHAnsi"/>
        </w:rPr>
        <w:t>Certeau</w:t>
      </w:r>
      <w:proofErr w:type="spellEnd"/>
      <w:r w:rsidR="00451D0B" w:rsidRPr="004E22A9">
        <w:rPr>
          <w:rFonts w:cstheme="minorHAnsi"/>
        </w:rPr>
        <w:t>, Michel</w:t>
      </w:r>
      <w:r w:rsidRPr="004E22A9">
        <w:rPr>
          <w:rFonts w:cstheme="minorHAnsi"/>
        </w:rPr>
        <w:t xml:space="preserve"> </w:t>
      </w:r>
      <w:r w:rsidRPr="004E22A9">
        <w:rPr>
          <w:rFonts w:cstheme="minorHAnsi"/>
          <w:shd w:val="clear" w:color="auto" w:fill="FFFFFF"/>
        </w:rPr>
        <w:t>(1984)</w:t>
      </w:r>
      <w:r w:rsidRPr="004E22A9">
        <w:rPr>
          <w:rStyle w:val="apple-converted-space"/>
          <w:rFonts w:cstheme="minorHAnsi"/>
          <w:shd w:val="clear" w:color="auto" w:fill="FFFFFF"/>
        </w:rPr>
        <w:t> </w:t>
      </w:r>
      <w:r w:rsidRPr="004E22A9">
        <w:rPr>
          <w:rFonts w:cstheme="minorHAnsi"/>
          <w:i/>
          <w:iCs/>
          <w:shd w:val="clear" w:color="auto" w:fill="FFFFFF"/>
        </w:rPr>
        <w:t>Practice of Everyday Life</w:t>
      </w:r>
      <w:r w:rsidRPr="004E22A9">
        <w:rPr>
          <w:rFonts w:cstheme="minorHAnsi"/>
          <w:shd w:val="clear" w:color="auto" w:fill="FFFFFF"/>
        </w:rPr>
        <w:t>. Berkeley: University Of California Press.</w:t>
      </w:r>
    </w:p>
    <w:p w14:paraId="2ABD252D" w14:textId="463C21AF" w:rsidR="005B6032" w:rsidRPr="004E22A9" w:rsidRDefault="005B6032" w:rsidP="00B76CF0">
      <w:pPr>
        <w:spacing w:after="0" w:line="240" w:lineRule="auto"/>
        <w:rPr>
          <w:rFonts w:cstheme="minorHAnsi"/>
        </w:rPr>
      </w:pPr>
      <w:r w:rsidRPr="004E22A9">
        <w:rPr>
          <w:rFonts w:cstheme="minorHAnsi"/>
        </w:rPr>
        <w:t xml:space="preserve">De </w:t>
      </w:r>
      <w:proofErr w:type="spellStart"/>
      <w:r w:rsidRPr="004E22A9">
        <w:rPr>
          <w:rFonts w:cstheme="minorHAnsi"/>
        </w:rPr>
        <w:t>Certeau</w:t>
      </w:r>
      <w:proofErr w:type="spellEnd"/>
      <w:r w:rsidR="00451D0B" w:rsidRPr="004E22A9">
        <w:rPr>
          <w:rFonts w:cstheme="minorHAnsi"/>
        </w:rPr>
        <w:t>, Michel</w:t>
      </w:r>
      <w:r w:rsidRPr="004E22A9">
        <w:rPr>
          <w:rFonts w:cstheme="minorHAnsi"/>
        </w:rPr>
        <w:t xml:space="preserve">, </w:t>
      </w:r>
      <w:proofErr w:type="spellStart"/>
      <w:r w:rsidRPr="004E22A9">
        <w:rPr>
          <w:rFonts w:cstheme="minorHAnsi"/>
        </w:rPr>
        <w:t>Giard</w:t>
      </w:r>
      <w:proofErr w:type="spellEnd"/>
      <w:r w:rsidRPr="004E22A9">
        <w:rPr>
          <w:rFonts w:cstheme="minorHAnsi"/>
        </w:rPr>
        <w:t xml:space="preserve">, </w:t>
      </w:r>
      <w:proofErr w:type="spellStart"/>
      <w:r w:rsidRPr="004E22A9">
        <w:rPr>
          <w:rFonts w:cstheme="minorHAnsi"/>
        </w:rPr>
        <w:t>L</w:t>
      </w:r>
      <w:r w:rsidR="00451D0B" w:rsidRPr="004E22A9">
        <w:rPr>
          <w:rFonts w:cstheme="minorHAnsi"/>
        </w:rPr>
        <w:t>uce</w:t>
      </w:r>
      <w:proofErr w:type="spellEnd"/>
      <w:r w:rsidR="00451D0B" w:rsidRPr="004E22A9">
        <w:rPr>
          <w:rFonts w:cstheme="minorHAnsi"/>
        </w:rPr>
        <w:t xml:space="preserve"> &amp; </w:t>
      </w:r>
      <w:proofErr w:type="spellStart"/>
      <w:r w:rsidR="00451D0B" w:rsidRPr="004E22A9">
        <w:rPr>
          <w:rFonts w:cstheme="minorHAnsi"/>
        </w:rPr>
        <w:t>Mayol</w:t>
      </w:r>
      <w:proofErr w:type="spellEnd"/>
      <w:r w:rsidR="00451D0B" w:rsidRPr="004E22A9">
        <w:rPr>
          <w:rFonts w:cstheme="minorHAnsi"/>
        </w:rPr>
        <w:t>, Pierre</w:t>
      </w:r>
      <w:r w:rsidRPr="004E22A9">
        <w:rPr>
          <w:rFonts w:cstheme="minorHAnsi"/>
        </w:rPr>
        <w:t xml:space="preserve"> (1998) </w:t>
      </w:r>
      <w:proofErr w:type="gramStart"/>
      <w:r w:rsidRPr="004E22A9">
        <w:rPr>
          <w:rFonts w:cstheme="minorHAnsi"/>
          <w:i/>
        </w:rPr>
        <w:t>The</w:t>
      </w:r>
      <w:proofErr w:type="gramEnd"/>
      <w:r w:rsidRPr="004E22A9">
        <w:rPr>
          <w:rFonts w:cstheme="minorHAnsi"/>
          <w:i/>
        </w:rPr>
        <w:t xml:space="preserve"> Practice of Everyday Life Vol. 2 Living and Cooking.</w:t>
      </w:r>
      <w:r w:rsidRPr="004E22A9">
        <w:rPr>
          <w:rFonts w:cstheme="minorHAnsi"/>
        </w:rPr>
        <w:t xml:space="preserve"> Minneapolis and London: The University of Minnesota Press</w:t>
      </w:r>
      <w:r w:rsidR="0026349B">
        <w:rPr>
          <w:rFonts w:cstheme="minorHAnsi"/>
        </w:rPr>
        <w:t>.</w:t>
      </w:r>
    </w:p>
    <w:p w14:paraId="2DD77CF8" w14:textId="6E22C067" w:rsidR="005B6032" w:rsidRPr="004E22A9" w:rsidRDefault="005B6032" w:rsidP="00B76CF0">
      <w:pPr>
        <w:spacing w:after="0" w:line="240" w:lineRule="auto"/>
        <w:rPr>
          <w:rFonts w:cstheme="minorHAnsi"/>
        </w:rPr>
      </w:pPr>
      <w:r w:rsidRPr="004E22A9">
        <w:rPr>
          <w:rFonts w:cstheme="minorHAnsi"/>
        </w:rPr>
        <w:t>Deutsche, R</w:t>
      </w:r>
      <w:r w:rsidR="00451D0B" w:rsidRPr="004E22A9">
        <w:rPr>
          <w:rFonts w:cstheme="minorHAnsi"/>
        </w:rPr>
        <w:t>osalyn</w:t>
      </w:r>
      <w:r w:rsidRPr="004E22A9">
        <w:rPr>
          <w:rFonts w:cstheme="minorHAnsi"/>
        </w:rPr>
        <w:t xml:space="preserve"> (1996) </w:t>
      </w:r>
      <w:r w:rsidRPr="004E22A9">
        <w:rPr>
          <w:rFonts w:cstheme="minorHAnsi"/>
          <w:i/>
        </w:rPr>
        <w:t>Evictions: Art and Spatial Politics.</w:t>
      </w:r>
      <w:r w:rsidRPr="004E22A9">
        <w:rPr>
          <w:rFonts w:cstheme="minorHAnsi"/>
        </w:rPr>
        <w:t xml:space="preserve"> Cambridge Massachusetts: MIT Press</w:t>
      </w:r>
      <w:r w:rsidR="0026349B">
        <w:rPr>
          <w:rFonts w:cstheme="minorHAnsi"/>
        </w:rPr>
        <w:t>.</w:t>
      </w:r>
    </w:p>
    <w:p w14:paraId="1A1088A3" w14:textId="00D45DE5" w:rsidR="005B6032" w:rsidRPr="004E22A9" w:rsidRDefault="00451D0B" w:rsidP="00B76CF0">
      <w:pPr>
        <w:spacing w:after="0" w:line="240" w:lineRule="auto"/>
        <w:rPr>
          <w:rFonts w:cstheme="minorHAnsi"/>
        </w:rPr>
      </w:pPr>
      <w:r w:rsidRPr="004E22A9">
        <w:rPr>
          <w:rFonts w:cstheme="minorHAnsi"/>
        </w:rPr>
        <w:t>Highmore, Ben</w:t>
      </w:r>
      <w:r w:rsidR="005B6032" w:rsidRPr="004E22A9">
        <w:rPr>
          <w:rFonts w:cstheme="minorHAnsi"/>
        </w:rPr>
        <w:t xml:space="preserve"> (2002) </w:t>
      </w:r>
      <w:r w:rsidR="005B6032" w:rsidRPr="004E22A9">
        <w:rPr>
          <w:rStyle w:val="highlight"/>
          <w:rFonts w:cstheme="minorHAnsi"/>
          <w:i/>
          <w:iCs/>
        </w:rPr>
        <w:t>Everyday</w:t>
      </w:r>
      <w:r w:rsidR="005B6032" w:rsidRPr="004E22A9">
        <w:rPr>
          <w:rFonts w:cstheme="minorHAnsi"/>
          <w:i/>
          <w:iCs/>
        </w:rPr>
        <w:t xml:space="preserve"> L</w:t>
      </w:r>
      <w:r w:rsidR="005B6032" w:rsidRPr="004E22A9">
        <w:rPr>
          <w:rStyle w:val="highlight"/>
          <w:rFonts w:cstheme="minorHAnsi"/>
          <w:i/>
          <w:iCs/>
        </w:rPr>
        <w:t>ife</w:t>
      </w:r>
      <w:r w:rsidR="005B6032" w:rsidRPr="004E22A9">
        <w:rPr>
          <w:rFonts w:cstheme="minorHAnsi"/>
          <w:i/>
          <w:iCs/>
        </w:rPr>
        <w:t xml:space="preserve"> Reader.</w:t>
      </w:r>
      <w:r w:rsidR="005B6032" w:rsidRPr="004E22A9">
        <w:rPr>
          <w:rFonts w:cstheme="minorHAnsi"/>
        </w:rPr>
        <w:t xml:space="preserve"> London: Routledge</w:t>
      </w:r>
      <w:r w:rsidR="0026349B">
        <w:rPr>
          <w:rFonts w:cstheme="minorHAnsi"/>
        </w:rPr>
        <w:t>.</w:t>
      </w:r>
    </w:p>
    <w:p w14:paraId="29094925" w14:textId="143999F7" w:rsidR="005B6032" w:rsidRPr="004E22A9" w:rsidRDefault="005B6032" w:rsidP="00B76CF0">
      <w:pPr>
        <w:spacing w:after="0" w:line="240" w:lineRule="auto"/>
        <w:rPr>
          <w:rFonts w:cstheme="minorHAnsi"/>
        </w:rPr>
      </w:pPr>
      <w:r w:rsidRPr="004E22A9">
        <w:rPr>
          <w:rFonts w:cstheme="minorHAnsi"/>
        </w:rPr>
        <w:t>Lefebvre</w:t>
      </w:r>
      <w:r w:rsidR="00451D0B" w:rsidRPr="004E22A9">
        <w:rPr>
          <w:rFonts w:cstheme="minorHAnsi"/>
        </w:rPr>
        <w:t>, Henri</w:t>
      </w:r>
      <w:r w:rsidRPr="004E22A9">
        <w:rPr>
          <w:rFonts w:cstheme="minorHAnsi"/>
        </w:rPr>
        <w:t xml:space="preserve"> (2009 [1939]) </w:t>
      </w:r>
      <w:r w:rsidRPr="004E22A9">
        <w:rPr>
          <w:rFonts w:cstheme="minorHAnsi"/>
          <w:i/>
        </w:rPr>
        <w:t>Dialectical Materialism.</w:t>
      </w:r>
      <w:r w:rsidRPr="004E22A9">
        <w:rPr>
          <w:rFonts w:cstheme="minorHAnsi"/>
        </w:rPr>
        <w:t xml:space="preserve"> Minnesota: University of Minnesota Press</w:t>
      </w:r>
      <w:r w:rsidR="0026349B">
        <w:rPr>
          <w:rFonts w:cstheme="minorHAnsi"/>
        </w:rPr>
        <w:t>.</w:t>
      </w:r>
    </w:p>
    <w:p w14:paraId="064934CF" w14:textId="657352BA" w:rsidR="00A70E79" w:rsidRPr="004E22A9" w:rsidRDefault="005B6032" w:rsidP="00B76CF0">
      <w:pPr>
        <w:spacing w:after="0" w:line="240" w:lineRule="auto"/>
        <w:rPr>
          <w:rFonts w:cstheme="minorHAnsi"/>
        </w:rPr>
      </w:pPr>
      <w:r w:rsidRPr="004E22A9">
        <w:rPr>
          <w:rFonts w:cstheme="minorHAnsi"/>
        </w:rPr>
        <w:t>Lefebvre, H</w:t>
      </w:r>
      <w:r w:rsidR="00451D0B" w:rsidRPr="004E22A9">
        <w:rPr>
          <w:rFonts w:cstheme="minorHAnsi"/>
        </w:rPr>
        <w:t>enri</w:t>
      </w:r>
      <w:r w:rsidRPr="004E22A9">
        <w:rPr>
          <w:rFonts w:cstheme="minorHAnsi"/>
        </w:rPr>
        <w:t xml:space="preserve"> (1961) </w:t>
      </w:r>
      <w:r w:rsidRPr="004E22A9">
        <w:rPr>
          <w:rFonts w:cstheme="minorHAnsi"/>
          <w:i/>
        </w:rPr>
        <w:t>Critique of Everyday Life vol. 2: Foundations for a Sociology of the Everyday</w:t>
      </w:r>
      <w:r w:rsidRPr="004E22A9">
        <w:rPr>
          <w:rFonts w:cstheme="minorHAnsi"/>
        </w:rPr>
        <w:t xml:space="preserve"> translated by Moore, J. (2002) London and New York: Verso</w:t>
      </w:r>
      <w:r w:rsidR="0026349B">
        <w:rPr>
          <w:rFonts w:cstheme="minorHAnsi"/>
        </w:rPr>
        <w:t>.</w:t>
      </w:r>
    </w:p>
    <w:p w14:paraId="31D9F617" w14:textId="1B755540" w:rsidR="005F1746" w:rsidRPr="004E22A9" w:rsidRDefault="00451D0B" w:rsidP="005F1746">
      <w:pPr>
        <w:spacing w:after="0" w:line="240" w:lineRule="auto"/>
        <w:rPr>
          <w:rFonts w:eastAsia="Times New Roman" w:cstheme="minorHAnsi"/>
          <w:lang w:eastAsia="en-GB"/>
        </w:rPr>
      </w:pPr>
      <w:r w:rsidRPr="004E22A9">
        <w:rPr>
          <w:rFonts w:eastAsia="Times New Roman" w:cstheme="minorHAnsi"/>
          <w:lang w:eastAsia="en-GB"/>
        </w:rPr>
        <w:t>MacLeod, Katie</w:t>
      </w:r>
      <w:r w:rsidR="005F1746" w:rsidRPr="004E22A9">
        <w:rPr>
          <w:rFonts w:eastAsia="Times New Roman" w:cstheme="minorHAnsi"/>
          <w:lang w:eastAsia="en-GB"/>
        </w:rPr>
        <w:t xml:space="preserve"> (2000) ‘The functions of the written text in practice-based </w:t>
      </w:r>
      <w:r w:rsidRPr="004E22A9">
        <w:rPr>
          <w:rFonts w:eastAsia="Times New Roman" w:cstheme="minorHAnsi"/>
          <w:lang w:eastAsia="en-GB"/>
        </w:rPr>
        <w:t>Ph.D.</w:t>
      </w:r>
      <w:r w:rsidR="005F1746" w:rsidRPr="004E22A9">
        <w:rPr>
          <w:rFonts w:eastAsia="Times New Roman" w:cstheme="minorHAnsi"/>
          <w:lang w:eastAsia="en-GB"/>
        </w:rPr>
        <w:t xml:space="preserve"> submissions’ </w:t>
      </w:r>
    </w:p>
    <w:p w14:paraId="45AFA4C3" w14:textId="7992E006" w:rsidR="00B91D12" w:rsidRDefault="005F1746" w:rsidP="005F1746">
      <w:pPr>
        <w:spacing w:after="0" w:line="240" w:lineRule="auto"/>
        <w:rPr>
          <w:rFonts w:eastAsia="Times New Roman" w:cstheme="minorHAnsi"/>
          <w:lang w:eastAsia="en-GB"/>
        </w:rPr>
      </w:pPr>
      <w:r w:rsidRPr="004E22A9">
        <w:rPr>
          <w:rFonts w:eastAsia="Times New Roman" w:cstheme="minorHAnsi"/>
          <w:i/>
          <w:lang w:eastAsia="en-GB"/>
        </w:rPr>
        <w:t>Working Papers in Art and Design</w:t>
      </w:r>
      <w:r w:rsidRPr="004E22A9">
        <w:rPr>
          <w:rFonts w:eastAsia="Times New Roman" w:cstheme="minorHAnsi"/>
          <w:lang w:eastAsia="en-GB"/>
        </w:rPr>
        <w:t xml:space="preserve"> Volume 1 available at </w:t>
      </w:r>
      <w:hyperlink r:id="rId17" w:history="1">
        <w:r w:rsidR="00B91D12" w:rsidRPr="004F753E">
          <w:rPr>
            <w:rStyle w:val="Hyperlink"/>
            <w:rFonts w:eastAsia="Times New Roman" w:cstheme="minorHAnsi"/>
            <w:lang w:eastAsia="en-GB"/>
          </w:rPr>
          <w:t>https://www.herts.ac.uk/__data/assets/pdf_file/0004/12289/WPIAAD_vol1_macleod.pdf</w:t>
        </w:r>
      </w:hyperlink>
    </w:p>
    <w:p w14:paraId="11C29B23" w14:textId="32491562" w:rsidR="005F1746" w:rsidRPr="004E22A9" w:rsidRDefault="00B91D12" w:rsidP="005F1746">
      <w:pPr>
        <w:spacing w:after="0" w:line="240" w:lineRule="auto"/>
        <w:rPr>
          <w:rFonts w:eastAsia="Times New Roman" w:cstheme="minorHAnsi"/>
          <w:u w:val="single"/>
          <w:lang w:eastAsia="en-GB"/>
        </w:rPr>
      </w:pPr>
      <w:r w:rsidRPr="00773D4E">
        <w:rPr>
          <w:rStyle w:val="Hyperlink"/>
          <w:rFonts w:eastAsia="Times New Roman" w:cstheme="minorHAnsi"/>
          <w:color w:val="auto"/>
          <w:u w:val="none"/>
          <w:lang w:eastAsia="en-GB"/>
        </w:rPr>
        <w:t xml:space="preserve"> </w:t>
      </w:r>
      <w:r w:rsidR="005F1746" w:rsidRPr="004E22A9">
        <w:rPr>
          <w:rFonts w:eastAsia="Times New Roman" w:cstheme="minorHAnsi"/>
          <w:lang w:eastAsia="en-GB"/>
        </w:rPr>
        <w:t>(</w:t>
      </w:r>
      <w:proofErr w:type="gramStart"/>
      <w:r w:rsidR="005F1746" w:rsidRPr="004E22A9">
        <w:rPr>
          <w:rFonts w:eastAsia="Times New Roman" w:cstheme="minorHAnsi"/>
          <w:lang w:eastAsia="en-GB"/>
        </w:rPr>
        <w:t>accessed</w:t>
      </w:r>
      <w:proofErr w:type="gramEnd"/>
      <w:r w:rsidR="005F1746" w:rsidRPr="004E22A9">
        <w:rPr>
          <w:rFonts w:eastAsia="Times New Roman" w:cstheme="minorHAnsi"/>
          <w:lang w:eastAsia="en-GB"/>
        </w:rPr>
        <w:t xml:space="preserve"> 29.</w:t>
      </w:r>
      <w:r>
        <w:rPr>
          <w:rFonts w:eastAsia="Times New Roman" w:cstheme="minorHAnsi"/>
          <w:lang w:eastAsia="en-GB"/>
        </w:rPr>
        <w:t>12</w:t>
      </w:r>
      <w:r w:rsidR="005F1746" w:rsidRPr="004E22A9">
        <w:rPr>
          <w:rFonts w:eastAsia="Times New Roman" w:cstheme="minorHAnsi"/>
          <w:lang w:eastAsia="en-GB"/>
        </w:rPr>
        <w:t>.201</w:t>
      </w:r>
      <w:r>
        <w:rPr>
          <w:rFonts w:eastAsia="Times New Roman" w:cstheme="minorHAnsi"/>
          <w:lang w:eastAsia="en-GB"/>
        </w:rPr>
        <w:t>8</w:t>
      </w:r>
      <w:r w:rsidR="005F1746" w:rsidRPr="004E22A9">
        <w:rPr>
          <w:rFonts w:eastAsia="Times New Roman" w:cstheme="minorHAnsi"/>
          <w:lang w:eastAsia="en-GB"/>
        </w:rPr>
        <w:t>)</w:t>
      </w:r>
      <w:r w:rsidR="0026349B">
        <w:rPr>
          <w:rFonts w:eastAsia="Times New Roman" w:cstheme="minorHAnsi"/>
          <w:lang w:eastAsia="en-GB"/>
        </w:rPr>
        <w:t>.</w:t>
      </w:r>
    </w:p>
    <w:p w14:paraId="76FCFBC8" w14:textId="21774F58" w:rsidR="005B6032" w:rsidRPr="004E22A9" w:rsidRDefault="005B6032" w:rsidP="00B76CF0">
      <w:pPr>
        <w:tabs>
          <w:tab w:val="left" w:pos="709"/>
        </w:tabs>
        <w:spacing w:after="0" w:line="240" w:lineRule="auto"/>
        <w:rPr>
          <w:rStyle w:val="Hyperlink"/>
          <w:rFonts w:cstheme="minorHAnsi"/>
          <w:color w:val="auto"/>
        </w:rPr>
      </w:pPr>
      <w:proofErr w:type="spellStart"/>
      <w:r w:rsidRPr="004E22A9">
        <w:rPr>
          <w:rFonts w:cstheme="minorHAnsi"/>
        </w:rPr>
        <w:t>Maharaj</w:t>
      </w:r>
      <w:proofErr w:type="spellEnd"/>
      <w:r w:rsidRPr="004E22A9">
        <w:rPr>
          <w:rFonts w:cstheme="minorHAnsi"/>
        </w:rPr>
        <w:t xml:space="preserve">, </w:t>
      </w:r>
      <w:proofErr w:type="spellStart"/>
      <w:r w:rsidRPr="004E22A9">
        <w:rPr>
          <w:rFonts w:cstheme="minorHAnsi"/>
        </w:rPr>
        <w:t>S</w:t>
      </w:r>
      <w:r w:rsidR="00451D0B" w:rsidRPr="004E22A9">
        <w:rPr>
          <w:rFonts w:cstheme="minorHAnsi"/>
        </w:rPr>
        <w:t>arat</w:t>
      </w:r>
      <w:proofErr w:type="spellEnd"/>
      <w:r w:rsidRPr="004E22A9">
        <w:rPr>
          <w:rFonts w:cstheme="minorHAnsi"/>
        </w:rPr>
        <w:t xml:space="preserve"> (2009) ‘Know-How and No-How: Stopgap Notes on “Method” in Visual Art as Knowledge Production’ in </w:t>
      </w:r>
      <w:r w:rsidRPr="004E22A9">
        <w:rPr>
          <w:rFonts w:cstheme="minorHAnsi"/>
          <w:i/>
        </w:rPr>
        <w:t>ART &amp; RESEARCH; A Journal of Ideas, Contexts and Methods</w:t>
      </w:r>
      <w:r w:rsidRPr="004E22A9">
        <w:rPr>
          <w:rFonts w:cstheme="minorHAnsi"/>
        </w:rPr>
        <w:t xml:space="preserve"> Volume 2. No. 2. Spring 2009 [online] available at </w:t>
      </w:r>
      <w:hyperlink r:id="rId18" w:history="1">
        <w:r w:rsidRPr="004E22A9">
          <w:rPr>
            <w:rStyle w:val="Hyperlink"/>
            <w:rFonts w:cstheme="minorHAnsi"/>
          </w:rPr>
          <w:t>http://www.artandresearch.org.uk/v2n2/maharaj.html</w:t>
        </w:r>
      </w:hyperlink>
      <w:r w:rsidR="005F1746" w:rsidRPr="004E22A9">
        <w:rPr>
          <w:rStyle w:val="Hyperlink"/>
          <w:rFonts w:cstheme="minorHAnsi"/>
          <w:color w:val="auto"/>
          <w:u w:val="none"/>
        </w:rPr>
        <w:t xml:space="preserve"> (accessed 29.</w:t>
      </w:r>
      <w:r w:rsidR="00E45983">
        <w:rPr>
          <w:rStyle w:val="Hyperlink"/>
          <w:rFonts w:cstheme="minorHAnsi"/>
          <w:color w:val="auto"/>
          <w:u w:val="none"/>
        </w:rPr>
        <w:t>12</w:t>
      </w:r>
      <w:r w:rsidR="005F1746" w:rsidRPr="004E22A9">
        <w:rPr>
          <w:rStyle w:val="Hyperlink"/>
          <w:rFonts w:cstheme="minorHAnsi"/>
          <w:color w:val="auto"/>
          <w:u w:val="none"/>
        </w:rPr>
        <w:t>.201</w:t>
      </w:r>
      <w:r w:rsidR="00E45983">
        <w:rPr>
          <w:rStyle w:val="Hyperlink"/>
          <w:rFonts w:cstheme="minorHAnsi"/>
          <w:color w:val="auto"/>
          <w:u w:val="none"/>
        </w:rPr>
        <w:t>8</w:t>
      </w:r>
      <w:r w:rsidRPr="004E22A9">
        <w:rPr>
          <w:rStyle w:val="Hyperlink"/>
          <w:rFonts w:cstheme="minorHAnsi"/>
          <w:color w:val="auto"/>
          <w:u w:val="none"/>
        </w:rPr>
        <w:t>)</w:t>
      </w:r>
      <w:r w:rsidR="0026349B">
        <w:rPr>
          <w:rStyle w:val="Hyperlink"/>
          <w:rFonts w:cstheme="minorHAnsi"/>
          <w:color w:val="auto"/>
          <w:u w:val="none"/>
        </w:rPr>
        <w:t>.</w:t>
      </w:r>
    </w:p>
    <w:p w14:paraId="1079FF96" w14:textId="4FD1D515" w:rsidR="005B6032" w:rsidRPr="004E22A9" w:rsidRDefault="00451D0B" w:rsidP="00B76CF0">
      <w:pPr>
        <w:tabs>
          <w:tab w:val="left" w:pos="709"/>
        </w:tabs>
        <w:spacing w:after="0" w:line="240" w:lineRule="auto"/>
        <w:rPr>
          <w:rFonts w:cstheme="minorHAnsi"/>
        </w:rPr>
      </w:pPr>
      <w:r w:rsidRPr="004E22A9">
        <w:rPr>
          <w:rFonts w:cstheme="minorHAnsi"/>
        </w:rPr>
        <w:t>Marx, Karl</w:t>
      </w:r>
      <w:r w:rsidR="005B6032" w:rsidRPr="004E22A9">
        <w:rPr>
          <w:rFonts w:cstheme="minorHAnsi"/>
        </w:rPr>
        <w:t xml:space="preserve"> (1990 [1867]) </w:t>
      </w:r>
      <w:r w:rsidR="005B6032" w:rsidRPr="004E22A9">
        <w:rPr>
          <w:rFonts w:cstheme="minorHAnsi"/>
          <w:i/>
        </w:rPr>
        <w:t>Capital: Critique of Political Economy.</w:t>
      </w:r>
      <w:r w:rsidR="005B6032" w:rsidRPr="004E22A9">
        <w:rPr>
          <w:rFonts w:cstheme="minorHAnsi"/>
        </w:rPr>
        <w:t xml:space="preserve"> UK: Penguin</w:t>
      </w:r>
      <w:r w:rsidR="0026349B">
        <w:rPr>
          <w:rFonts w:cstheme="minorHAnsi"/>
        </w:rPr>
        <w:t>.</w:t>
      </w:r>
    </w:p>
    <w:p w14:paraId="334EE8F2" w14:textId="0D702CBE" w:rsidR="005B6032" w:rsidRPr="004E22A9" w:rsidRDefault="005B6032" w:rsidP="00B76CF0">
      <w:pPr>
        <w:tabs>
          <w:tab w:val="left" w:pos="709"/>
        </w:tabs>
        <w:spacing w:after="0" w:line="240" w:lineRule="auto"/>
        <w:rPr>
          <w:rFonts w:cstheme="minorHAnsi"/>
        </w:rPr>
      </w:pPr>
      <w:r w:rsidRPr="004E22A9">
        <w:rPr>
          <w:rFonts w:cstheme="minorHAnsi"/>
        </w:rPr>
        <w:t>Marx, K</w:t>
      </w:r>
      <w:r w:rsidR="00451D0B" w:rsidRPr="004E22A9">
        <w:rPr>
          <w:rFonts w:cstheme="minorHAnsi"/>
        </w:rPr>
        <w:t>arl</w:t>
      </w:r>
      <w:r w:rsidRPr="004E22A9">
        <w:rPr>
          <w:rFonts w:cstheme="minorHAnsi"/>
        </w:rPr>
        <w:t xml:space="preserve"> (1886) </w:t>
      </w:r>
      <w:r w:rsidRPr="004E22A9">
        <w:rPr>
          <w:rFonts w:cstheme="minorHAnsi"/>
          <w:i/>
        </w:rPr>
        <w:t>Capital: A Critical Analysis of Capitalist Production</w:t>
      </w:r>
      <w:r w:rsidRPr="004E22A9">
        <w:rPr>
          <w:rFonts w:cstheme="minorHAnsi"/>
        </w:rPr>
        <w:t xml:space="preserve"> translated by Moore, S. and </w:t>
      </w:r>
      <w:proofErr w:type="spellStart"/>
      <w:r w:rsidRPr="004E22A9">
        <w:rPr>
          <w:rFonts w:cstheme="minorHAnsi"/>
        </w:rPr>
        <w:t>Aveling</w:t>
      </w:r>
      <w:proofErr w:type="spellEnd"/>
      <w:r w:rsidRPr="004E22A9">
        <w:rPr>
          <w:rFonts w:cstheme="minorHAnsi"/>
        </w:rPr>
        <w:t xml:space="preserve">, E. London: William </w:t>
      </w:r>
      <w:proofErr w:type="spellStart"/>
      <w:r w:rsidRPr="004E22A9">
        <w:rPr>
          <w:rFonts w:cstheme="minorHAnsi"/>
        </w:rPr>
        <w:t>Glaisher</w:t>
      </w:r>
      <w:proofErr w:type="spellEnd"/>
      <w:r w:rsidRPr="004E22A9">
        <w:rPr>
          <w:rFonts w:cstheme="minorHAnsi"/>
        </w:rPr>
        <w:t xml:space="preserve">, Ltd. </w:t>
      </w:r>
    </w:p>
    <w:p w14:paraId="147D68C8" w14:textId="46F8034E" w:rsidR="00852957" w:rsidRPr="004E22A9" w:rsidRDefault="00451D0B" w:rsidP="00B76CF0">
      <w:pPr>
        <w:spacing w:after="0" w:line="240" w:lineRule="auto"/>
        <w:rPr>
          <w:rFonts w:cstheme="minorHAnsi"/>
        </w:rPr>
      </w:pPr>
      <w:r w:rsidRPr="004E22A9">
        <w:rPr>
          <w:rFonts w:cstheme="minorHAnsi"/>
        </w:rPr>
        <w:t>Miles, Malcolm</w:t>
      </w:r>
      <w:r w:rsidR="00852957" w:rsidRPr="004E22A9">
        <w:rPr>
          <w:rFonts w:cstheme="minorHAnsi"/>
        </w:rPr>
        <w:t xml:space="preserve"> (2000) </w:t>
      </w:r>
      <w:proofErr w:type="gramStart"/>
      <w:r w:rsidR="00852957" w:rsidRPr="004E22A9">
        <w:rPr>
          <w:rFonts w:cstheme="minorHAnsi"/>
          <w:i/>
        </w:rPr>
        <w:t>The</w:t>
      </w:r>
      <w:proofErr w:type="gramEnd"/>
      <w:r w:rsidR="00852957" w:rsidRPr="004E22A9">
        <w:rPr>
          <w:rFonts w:cstheme="minorHAnsi"/>
          <w:i/>
        </w:rPr>
        <w:t xml:space="preserve"> Uses of Decoration: Essays in the Architectural </w:t>
      </w:r>
      <w:proofErr w:type="spellStart"/>
      <w:r w:rsidR="00852957" w:rsidRPr="004E22A9">
        <w:rPr>
          <w:rFonts w:cstheme="minorHAnsi"/>
          <w:i/>
        </w:rPr>
        <w:t>Everyday</w:t>
      </w:r>
      <w:proofErr w:type="spellEnd"/>
      <w:r w:rsidR="00852957" w:rsidRPr="004E22A9">
        <w:rPr>
          <w:rFonts w:cstheme="minorHAnsi"/>
          <w:i/>
        </w:rPr>
        <w:t>.</w:t>
      </w:r>
      <w:r w:rsidR="00852957" w:rsidRPr="004E22A9">
        <w:rPr>
          <w:rFonts w:cstheme="minorHAnsi"/>
        </w:rPr>
        <w:t xml:space="preserve"> UK: John Wiley &amp; Sons Ltd.</w:t>
      </w:r>
    </w:p>
    <w:p w14:paraId="7BE75B47" w14:textId="43FCE36A" w:rsidR="00852957" w:rsidRPr="004E22A9" w:rsidRDefault="00451D0B" w:rsidP="00B76CF0">
      <w:pPr>
        <w:spacing w:after="0" w:line="240" w:lineRule="auto"/>
        <w:rPr>
          <w:rFonts w:cstheme="minorHAnsi"/>
        </w:rPr>
      </w:pPr>
      <w:proofErr w:type="spellStart"/>
      <w:r w:rsidRPr="004E22A9">
        <w:rPr>
          <w:rFonts w:cstheme="minorHAnsi"/>
        </w:rPr>
        <w:t>Schön</w:t>
      </w:r>
      <w:proofErr w:type="spellEnd"/>
      <w:r w:rsidRPr="004E22A9">
        <w:rPr>
          <w:rFonts w:cstheme="minorHAnsi"/>
        </w:rPr>
        <w:t>, Donald</w:t>
      </w:r>
      <w:r w:rsidR="00852957" w:rsidRPr="004E22A9">
        <w:rPr>
          <w:rFonts w:cstheme="minorHAnsi"/>
        </w:rPr>
        <w:t xml:space="preserve"> (1983) </w:t>
      </w:r>
      <w:r w:rsidR="00852957" w:rsidRPr="004E22A9">
        <w:rPr>
          <w:rFonts w:cstheme="minorHAnsi"/>
          <w:i/>
        </w:rPr>
        <w:t>The Reflective Practitioner: How Professionals Think in Action.</w:t>
      </w:r>
      <w:r w:rsidR="00852957" w:rsidRPr="004E22A9">
        <w:rPr>
          <w:rFonts w:cstheme="minorHAnsi"/>
        </w:rPr>
        <w:t xml:space="preserve"> US: Basic Books Inc.</w:t>
      </w:r>
    </w:p>
    <w:p w14:paraId="4B5515A9" w14:textId="1A2CDAAD" w:rsidR="0080638C" w:rsidRDefault="0080638C" w:rsidP="00B76CF0">
      <w:pPr>
        <w:spacing w:after="0" w:line="240" w:lineRule="auto"/>
        <w:rPr>
          <w:rFonts w:cstheme="minorHAnsi"/>
        </w:rPr>
      </w:pPr>
    </w:p>
    <w:p w14:paraId="45CDDE63" w14:textId="77777777" w:rsidR="0080638C" w:rsidRPr="00247764" w:rsidRDefault="0080638C" w:rsidP="00B76CF0">
      <w:pPr>
        <w:spacing w:after="0" w:line="240" w:lineRule="auto"/>
        <w:rPr>
          <w:rFonts w:cstheme="minorHAnsi"/>
        </w:rPr>
      </w:pPr>
    </w:p>
    <w:p w14:paraId="19C498BF" w14:textId="2A9921CA" w:rsidR="00EF63F7" w:rsidRPr="00247764" w:rsidRDefault="0080638C" w:rsidP="00B76CF0">
      <w:pPr>
        <w:spacing w:after="0" w:line="240" w:lineRule="auto"/>
        <w:rPr>
          <w:rFonts w:cstheme="minorHAnsi"/>
          <w:b/>
        </w:rPr>
      </w:pPr>
      <w:r w:rsidRPr="00247764">
        <w:rPr>
          <w:rFonts w:cstheme="minorHAnsi"/>
          <w:b/>
        </w:rPr>
        <w:t>Table of Illustrations</w:t>
      </w:r>
    </w:p>
    <w:p w14:paraId="2CCCEE4D" w14:textId="05D95702" w:rsidR="0080638C" w:rsidRDefault="0080638C" w:rsidP="0080638C">
      <w:pPr>
        <w:spacing w:after="0" w:line="240" w:lineRule="auto"/>
        <w:rPr>
          <w:rFonts w:eastAsiaTheme="minorEastAsia" w:cstheme="minorHAnsi"/>
          <w:lang w:eastAsia="en-GB"/>
        </w:rPr>
      </w:pPr>
      <w:r w:rsidRPr="00773D4E">
        <w:rPr>
          <w:rFonts w:eastAsiaTheme="minorEastAsia" w:cstheme="minorHAnsi"/>
          <w:noProof/>
          <w:lang w:eastAsia="en-GB"/>
        </w:rPr>
        <w:t>Figure 1: Sarah Horton. Installation of “</w:t>
      </w:r>
      <w:r w:rsidRPr="00773D4E">
        <w:rPr>
          <w:rFonts w:eastAsiaTheme="minorEastAsia" w:cstheme="minorHAnsi"/>
          <w:i/>
          <w:noProof/>
          <w:lang w:eastAsia="en-GB"/>
        </w:rPr>
        <w:t>Let’s get comfortable</w:t>
      </w:r>
      <w:r w:rsidRPr="00773D4E">
        <w:rPr>
          <w:rFonts w:eastAsiaTheme="minorEastAsia" w:cstheme="minorHAnsi"/>
          <w:noProof/>
          <w:lang w:eastAsia="en-GB"/>
        </w:rPr>
        <w:t xml:space="preserve">” in Aviva’s Head Office, St. Helen’s, London, 2013. </w:t>
      </w:r>
      <w:r w:rsidRPr="00773D4E">
        <w:rPr>
          <w:rFonts w:eastAsiaTheme="minorEastAsia" w:cstheme="minorHAnsi"/>
          <w:lang w:eastAsia="en-GB"/>
        </w:rPr>
        <w:t xml:space="preserve">Five sculptures each made of fabric, cord, cord stoppers, </w:t>
      </w:r>
      <w:proofErr w:type="spellStart"/>
      <w:r w:rsidRPr="00773D4E">
        <w:rPr>
          <w:rFonts w:eastAsiaTheme="minorEastAsia" w:cstheme="minorHAnsi"/>
          <w:lang w:eastAsia="en-GB"/>
        </w:rPr>
        <w:t>hollowfibre</w:t>
      </w:r>
      <w:proofErr w:type="spellEnd"/>
      <w:r w:rsidRPr="00773D4E">
        <w:rPr>
          <w:rFonts w:eastAsiaTheme="minorEastAsia" w:cstheme="minorHAnsi"/>
          <w:lang w:eastAsia="en-GB"/>
        </w:rPr>
        <w:t xml:space="preserve"> filling and additional embellishments, placed on and around the furniture in various configurations. Each piece is approx. 140cm long x 23cm depth x 23cm height. © Horton 2013.</w:t>
      </w:r>
    </w:p>
    <w:p w14:paraId="7DEB8F6F" w14:textId="50EA9FDE" w:rsidR="0080638C" w:rsidRDefault="0080638C" w:rsidP="0080638C">
      <w:pPr>
        <w:spacing w:after="0" w:line="240" w:lineRule="auto"/>
        <w:rPr>
          <w:rFonts w:eastAsiaTheme="minorEastAsia" w:cstheme="minorHAnsi"/>
          <w:lang w:eastAsia="en-GB"/>
        </w:rPr>
      </w:pPr>
    </w:p>
    <w:p w14:paraId="03366192" w14:textId="77777777" w:rsidR="0080638C" w:rsidRPr="0040155E" w:rsidRDefault="0080638C" w:rsidP="0080638C">
      <w:pPr>
        <w:spacing w:after="0" w:line="240" w:lineRule="auto"/>
        <w:rPr>
          <w:rFonts w:cstheme="minorHAnsi"/>
        </w:rPr>
      </w:pPr>
      <w:r w:rsidRPr="00CB3F67">
        <w:rPr>
          <w:rFonts w:cstheme="minorHAnsi"/>
        </w:rPr>
        <w:t xml:space="preserve">Figure </w:t>
      </w:r>
      <w:r>
        <w:rPr>
          <w:rFonts w:cstheme="minorHAnsi"/>
        </w:rPr>
        <w:t>2</w:t>
      </w:r>
      <w:r w:rsidRPr="0040155E">
        <w:rPr>
          <w:rFonts w:cstheme="minorHAnsi"/>
        </w:rPr>
        <w:t xml:space="preserve">: Sarah Horton. Details from </w:t>
      </w:r>
      <w:r w:rsidRPr="0040155E">
        <w:rPr>
          <w:rFonts w:cstheme="minorHAnsi"/>
          <w:i/>
        </w:rPr>
        <w:t>“Let’s get comfortable”</w:t>
      </w:r>
      <w:r w:rsidRPr="0040155E">
        <w:rPr>
          <w:rFonts w:cstheme="minorHAnsi"/>
        </w:rPr>
        <w:t xml:space="preserve"> including various fabrics, cord, </w:t>
      </w:r>
      <w:proofErr w:type="spellStart"/>
      <w:r w:rsidRPr="0040155E">
        <w:rPr>
          <w:rFonts w:cstheme="minorHAnsi"/>
        </w:rPr>
        <w:t>cordstoppers</w:t>
      </w:r>
      <w:proofErr w:type="spellEnd"/>
      <w:r w:rsidRPr="0040155E">
        <w:rPr>
          <w:rFonts w:cstheme="minorHAnsi"/>
        </w:rPr>
        <w:t>, tape, elastic. © Horton 2013.</w:t>
      </w:r>
    </w:p>
    <w:p w14:paraId="5403DBF1" w14:textId="77777777" w:rsidR="0080638C" w:rsidRPr="00752ED1" w:rsidRDefault="0080638C" w:rsidP="0080638C">
      <w:pPr>
        <w:spacing w:after="0" w:line="240" w:lineRule="auto"/>
        <w:rPr>
          <w:rFonts w:eastAsiaTheme="minorEastAsia" w:cstheme="minorHAnsi"/>
          <w:lang w:eastAsia="en-GB"/>
        </w:rPr>
      </w:pPr>
    </w:p>
    <w:p w14:paraId="1170C006" w14:textId="77777777" w:rsidR="00EE281F" w:rsidRPr="00773D4E" w:rsidRDefault="00EE281F" w:rsidP="00EE281F">
      <w:pPr>
        <w:spacing w:after="0" w:line="240" w:lineRule="auto"/>
      </w:pPr>
      <w:r w:rsidRPr="00773D4E">
        <w:lastRenderedPageBreak/>
        <w:t xml:space="preserve">Figure </w:t>
      </w:r>
      <w:r>
        <w:t>3</w:t>
      </w:r>
      <w:r w:rsidRPr="00773D4E">
        <w:t xml:space="preserve">: Sarah Horton. Drawings and fabric swatches using the suit as a starting point (2012). Pencil, inks, watercolour, tape, fabric swatches and ribbon on paper. 29.7cm x 42cm. </w:t>
      </w:r>
      <w:r w:rsidRPr="00773D4E">
        <w:rPr>
          <w:rFonts w:eastAsiaTheme="minorEastAsia" w:cstheme="minorHAnsi"/>
          <w:lang w:eastAsia="en-GB"/>
        </w:rPr>
        <w:t>© Horton 2013.</w:t>
      </w:r>
    </w:p>
    <w:p w14:paraId="26249FC5" w14:textId="46B7BAE0" w:rsidR="00EF63F7" w:rsidRDefault="00EF63F7" w:rsidP="00B76CF0">
      <w:pPr>
        <w:spacing w:after="0" w:line="240" w:lineRule="auto"/>
        <w:rPr>
          <w:rFonts w:cstheme="minorHAnsi"/>
        </w:rPr>
      </w:pPr>
    </w:p>
    <w:p w14:paraId="4E502532" w14:textId="3C17C202" w:rsidR="000D0BF5" w:rsidRDefault="000D0BF5" w:rsidP="000D0BF5">
      <w:pPr>
        <w:spacing w:after="0" w:line="240" w:lineRule="auto"/>
        <w:rPr>
          <w:rFonts w:eastAsiaTheme="minorEastAsia" w:cstheme="minorHAnsi"/>
          <w:lang w:eastAsia="en-GB"/>
        </w:rPr>
      </w:pPr>
      <w:r>
        <w:rPr>
          <w:rFonts w:cstheme="minorHAnsi"/>
        </w:rPr>
        <w:t xml:space="preserve">Figure 4: Sarah Horton. </w:t>
      </w:r>
      <w:r>
        <w:t xml:space="preserve">Proposal drawing of </w:t>
      </w:r>
      <w:r>
        <w:rPr>
          <w:i/>
        </w:rPr>
        <w:t>“Let’s get comfortable”</w:t>
      </w:r>
      <w:r>
        <w:t xml:space="preserve"> used for pitch to Aviva staff (2012). Gouache and watercolour on photocopy. 29.7 x 42cm. </w:t>
      </w:r>
      <w:r>
        <w:rPr>
          <w:rFonts w:eastAsiaTheme="minorEastAsia" w:cstheme="minorHAnsi"/>
          <w:lang w:eastAsia="en-GB"/>
        </w:rPr>
        <w:t>© Horton 2013.</w:t>
      </w:r>
    </w:p>
    <w:p w14:paraId="767A8EE1" w14:textId="56C84ADE" w:rsidR="000D0BF5" w:rsidRDefault="000D0BF5" w:rsidP="000D0BF5">
      <w:pPr>
        <w:spacing w:after="0" w:line="240" w:lineRule="auto"/>
      </w:pPr>
    </w:p>
    <w:p w14:paraId="1188F5F3" w14:textId="37045238" w:rsidR="000D0BF5" w:rsidRPr="00247764" w:rsidRDefault="000D0BF5" w:rsidP="00B76CF0">
      <w:pPr>
        <w:spacing w:after="0" w:line="240" w:lineRule="auto"/>
        <w:rPr>
          <w:rFonts w:cstheme="minorHAnsi"/>
        </w:rPr>
      </w:pPr>
      <w:r>
        <w:rPr>
          <w:rFonts w:cstheme="minorHAnsi"/>
        </w:rPr>
        <w:t>Figure 5: Volume 2 of the thesis showing a double-page spread where images of the practical work are presented on the right-hand page with its theoretical implications indicated in the Reflective Journal quotes printed on the left. © Horton 2018</w:t>
      </w:r>
    </w:p>
    <w:sectPr w:rsidR="000D0BF5" w:rsidRPr="00247764" w:rsidSect="00BE7954">
      <w:footerReference w:type="default" r:id="rId19"/>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995F3D0" w14:textId="77777777" w:rsidR="003779F7" w:rsidRDefault="003779F7" w:rsidP="004C3995">
      <w:pPr>
        <w:spacing w:after="0" w:line="240" w:lineRule="auto"/>
      </w:pPr>
      <w:r>
        <w:separator/>
      </w:r>
    </w:p>
  </w:endnote>
  <w:endnote w:type="continuationSeparator" w:id="0">
    <w:p w14:paraId="4A70E34C" w14:textId="77777777" w:rsidR="003779F7" w:rsidRDefault="003779F7" w:rsidP="004C39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ヒラギノ角ゴ Pro W3">
    <w:altName w:val="Times New Roman"/>
    <w:charset w:val="00"/>
    <w:family w:val="roman"/>
    <w:pitch w:val="default"/>
  </w:font>
  <w:font w:name="Yu Mincho">
    <w:charset w:val="80"/>
    <w:family w:val="roman"/>
    <w:pitch w:val="variable"/>
    <w:sig w:usb0="800002E7" w:usb1="2AC7FCFF" w:usb2="00000012" w:usb3="00000000" w:csb0="0002009F" w:csb1="00000000"/>
  </w:font>
  <w:font w:name="Lucida Grande">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1354523"/>
      <w:docPartObj>
        <w:docPartGallery w:val="Page Numbers (Bottom of Page)"/>
        <w:docPartUnique/>
      </w:docPartObj>
    </w:sdtPr>
    <w:sdtEndPr>
      <w:rPr>
        <w:noProof/>
      </w:rPr>
    </w:sdtEndPr>
    <w:sdtContent>
      <w:p w14:paraId="3741579F" w14:textId="79965E97" w:rsidR="009D3F10" w:rsidRDefault="009D3F10">
        <w:pPr>
          <w:pStyle w:val="Footer"/>
          <w:jc w:val="right"/>
        </w:pPr>
        <w:r>
          <w:fldChar w:fldCharType="begin"/>
        </w:r>
        <w:r>
          <w:instrText xml:space="preserve"> PAGE   \* MERGEFORMAT </w:instrText>
        </w:r>
        <w:r>
          <w:fldChar w:fldCharType="separate"/>
        </w:r>
        <w:r w:rsidR="00802415">
          <w:rPr>
            <w:noProof/>
          </w:rPr>
          <w:t>9</w:t>
        </w:r>
        <w:r>
          <w:rPr>
            <w:noProof/>
          </w:rPr>
          <w:fldChar w:fldCharType="end"/>
        </w:r>
      </w:p>
    </w:sdtContent>
  </w:sdt>
  <w:p w14:paraId="3C2BD87C" w14:textId="77777777" w:rsidR="009D3F10" w:rsidRDefault="009D3F1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EB2AC6" w14:textId="77777777" w:rsidR="003779F7" w:rsidRDefault="003779F7" w:rsidP="004C3995">
      <w:pPr>
        <w:spacing w:after="0" w:line="240" w:lineRule="auto"/>
      </w:pPr>
      <w:r>
        <w:separator/>
      </w:r>
    </w:p>
  </w:footnote>
  <w:footnote w:type="continuationSeparator" w:id="0">
    <w:p w14:paraId="374B07DB" w14:textId="77777777" w:rsidR="003779F7" w:rsidRDefault="003779F7" w:rsidP="004C399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4716898"/>
    <w:multiLevelType w:val="hybridMultilevel"/>
    <w:tmpl w:val="9F8E935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9940A75"/>
    <w:multiLevelType w:val="hybridMultilevel"/>
    <w:tmpl w:val="AA284C2A"/>
    <w:lvl w:ilvl="0" w:tplc="612C71B0">
      <w:start w:val="1"/>
      <w:numFmt w:val="bullet"/>
      <w:lvlText w:val=""/>
      <w:lvlJc w:val="left"/>
      <w:pPr>
        <w:ind w:left="720" w:hanging="360"/>
      </w:pPr>
      <w:rPr>
        <w:rFonts w:ascii="Symbol" w:hAnsi="Symbol" w:hint="default"/>
        <w:strike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1EF6A91"/>
    <w:multiLevelType w:val="hybridMultilevel"/>
    <w:tmpl w:val="149C0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AD00EBE"/>
    <w:multiLevelType w:val="hybridMultilevel"/>
    <w:tmpl w:val="A37405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E0C0EE4"/>
    <w:multiLevelType w:val="hybridMultilevel"/>
    <w:tmpl w:val="BFC21E22"/>
    <w:lvl w:ilvl="0" w:tplc="612C71B0">
      <w:start w:val="1"/>
      <w:numFmt w:val="bullet"/>
      <w:lvlText w:val=""/>
      <w:lvlJc w:val="left"/>
      <w:pPr>
        <w:ind w:left="720" w:hanging="360"/>
      </w:pPr>
      <w:rPr>
        <w:rFonts w:ascii="Symbol" w:hAnsi="Symbol" w:hint="default"/>
        <w:strike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5EA5D5E"/>
    <w:multiLevelType w:val="hybridMultilevel"/>
    <w:tmpl w:val="4B4E60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76CA7B61"/>
    <w:multiLevelType w:val="hybridMultilevel"/>
    <w:tmpl w:val="0FA6CE16"/>
    <w:lvl w:ilvl="0" w:tplc="612C71B0">
      <w:start w:val="1"/>
      <w:numFmt w:val="bullet"/>
      <w:lvlText w:val=""/>
      <w:lvlJc w:val="left"/>
      <w:pPr>
        <w:ind w:left="720" w:hanging="360"/>
      </w:pPr>
      <w:rPr>
        <w:rFonts w:ascii="Symbol" w:hAnsi="Symbol" w:hint="default"/>
        <w:strike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B9F454B"/>
    <w:multiLevelType w:val="hybridMultilevel"/>
    <w:tmpl w:val="47FE4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2"/>
  </w:num>
  <w:num w:numId="3">
    <w:abstractNumId w:val="4"/>
  </w:num>
  <w:num w:numId="4">
    <w:abstractNumId w:val="6"/>
  </w:num>
  <w:num w:numId="5">
    <w:abstractNumId w:val="1"/>
  </w:num>
  <w:num w:numId="6">
    <w:abstractNumId w:val="7"/>
  </w:num>
  <w:num w:numId="7">
    <w:abstractNumId w:val="0"/>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C3995"/>
    <w:rsid w:val="000047B6"/>
    <w:rsid w:val="00007608"/>
    <w:rsid w:val="00016122"/>
    <w:rsid w:val="00032AC6"/>
    <w:rsid w:val="00037772"/>
    <w:rsid w:val="00050C96"/>
    <w:rsid w:val="00051021"/>
    <w:rsid w:val="00054C85"/>
    <w:rsid w:val="00061D71"/>
    <w:rsid w:val="00066B82"/>
    <w:rsid w:val="00074284"/>
    <w:rsid w:val="000971FF"/>
    <w:rsid w:val="000A2733"/>
    <w:rsid w:val="000B3A84"/>
    <w:rsid w:val="000D0BF5"/>
    <w:rsid w:val="000E5F91"/>
    <w:rsid w:val="000E6E10"/>
    <w:rsid w:val="00106991"/>
    <w:rsid w:val="00123700"/>
    <w:rsid w:val="00130C4F"/>
    <w:rsid w:val="00137732"/>
    <w:rsid w:val="001439DB"/>
    <w:rsid w:val="00150666"/>
    <w:rsid w:val="00154B04"/>
    <w:rsid w:val="0016769B"/>
    <w:rsid w:val="00170166"/>
    <w:rsid w:val="00173220"/>
    <w:rsid w:val="001861BA"/>
    <w:rsid w:val="00195DBD"/>
    <w:rsid w:val="0019777A"/>
    <w:rsid w:val="001B2987"/>
    <w:rsid w:val="001B34A1"/>
    <w:rsid w:val="001D3A1E"/>
    <w:rsid w:val="001D461F"/>
    <w:rsid w:val="001E6620"/>
    <w:rsid w:val="0021294B"/>
    <w:rsid w:val="00221FB8"/>
    <w:rsid w:val="00241AF1"/>
    <w:rsid w:val="00242E53"/>
    <w:rsid w:val="00244027"/>
    <w:rsid w:val="00247764"/>
    <w:rsid w:val="002550B5"/>
    <w:rsid w:val="00255C92"/>
    <w:rsid w:val="0026349B"/>
    <w:rsid w:val="002733C2"/>
    <w:rsid w:val="002807C7"/>
    <w:rsid w:val="002A7184"/>
    <w:rsid w:val="002B72E0"/>
    <w:rsid w:val="002C22C8"/>
    <w:rsid w:val="002C3D90"/>
    <w:rsid w:val="002D1FF9"/>
    <w:rsid w:val="002F2352"/>
    <w:rsid w:val="002F2C28"/>
    <w:rsid w:val="003077BA"/>
    <w:rsid w:val="00352D70"/>
    <w:rsid w:val="00353ECB"/>
    <w:rsid w:val="00355A45"/>
    <w:rsid w:val="003560FA"/>
    <w:rsid w:val="00375053"/>
    <w:rsid w:val="003779F7"/>
    <w:rsid w:val="00392E0E"/>
    <w:rsid w:val="003A0306"/>
    <w:rsid w:val="003C15DF"/>
    <w:rsid w:val="003C40D5"/>
    <w:rsid w:val="003F589D"/>
    <w:rsid w:val="0040155E"/>
    <w:rsid w:val="0040431E"/>
    <w:rsid w:val="0040758B"/>
    <w:rsid w:val="0041279D"/>
    <w:rsid w:val="00425C4D"/>
    <w:rsid w:val="00425F7E"/>
    <w:rsid w:val="00451D0B"/>
    <w:rsid w:val="0046191E"/>
    <w:rsid w:val="00472D02"/>
    <w:rsid w:val="004800FD"/>
    <w:rsid w:val="004C2156"/>
    <w:rsid w:val="004C3995"/>
    <w:rsid w:val="004D7601"/>
    <w:rsid w:val="004E22A9"/>
    <w:rsid w:val="004F1E24"/>
    <w:rsid w:val="005133D9"/>
    <w:rsid w:val="00514716"/>
    <w:rsid w:val="00524721"/>
    <w:rsid w:val="00542099"/>
    <w:rsid w:val="00542A83"/>
    <w:rsid w:val="00550041"/>
    <w:rsid w:val="00552136"/>
    <w:rsid w:val="0055429C"/>
    <w:rsid w:val="00560F0D"/>
    <w:rsid w:val="005632EE"/>
    <w:rsid w:val="0058107E"/>
    <w:rsid w:val="00590043"/>
    <w:rsid w:val="00593C65"/>
    <w:rsid w:val="005A7A63"/>
    <w:rsid w:val="005B6032"/>
    <w:rsid w:val="005C5E6D"/>
    <w:rsid w:val="005E30B4"/>
    <w:rsid w:val="005F1746"/>
    <w:rsid w:val="005F3639"/>
    <w:rsid w:val="005F5467"/>
    <w:rsid w:val="006013F4"/>
    <w:rsid w:val="00603076"/>
    <w:rsid w:val="00612239"/>
    <w:rsid w:val="00621DB0"/>
    <w:rsid w:val="00627C49"/>
    <w:rsid w:val="006322F5"/>
    <w:rsid w:val="006327A6"/>
    <w:rsid w:val="00635303"/>
    <w:rsid w:val="0064182E"/>
    <w:rsid w:val="00641F4F"/>
    <w:rsid w:val="00656AE7"/>
    <w:rsid w:val="00665DBB"/>
    <w:rsid w:val="00674ABF"/>
    <w:rsid w:val="006803B9"/>
    <w:rsid w:val="0068077C"/>
    <w:rsid w:val="006A04A0"/>
    <w:rsid w:val="006A1C1E"/>
    <w:rsid w:val="006A55D9"/>
    <w:rsid w:val="006C56D8"/>
    <w:rsid w:val="006D2159"/>
    <w:rsid w:val="006E1590"/>
    <w:rsid w:val="006F0ABD"/>
    <w:rsid w:val="006F7F8A"/>
    <w:rsid w:val="007057F4"/>
    <w:rsid w:val="00721DFA"/>
    <w:rsid w:val="00723382"/>
    <w:rsid w:val="00742D02"/>
    <w:rsid w:val="007442A2"/>
    <w:rsid w:val="00752ED1"/>
    <w:rsid w:val="00773D4E"/>
    <w:rsid w:val="00774CFD"/>
    <w:rsid w:val="00786130"/>
    <w:rsid w:val="007A0CB9"/>
    <w:rsid w:val="007C2855"/>
    <w:rsid w:val="007C5B55"/>
    <w:rsid w:val="007C658C"/>
    <w:rsid w:val="007E50D8"/>
    <w:rsid w:val="007F0803"/>
    <w:rsid w:val="007F50BD"/>
    <w:rsid w:val="007F7D3B"/>
    <w:rsid w:val="00802415"/>
    <w:rsid w:val="0080638C"/>
    <w:rsid w:val="008164F7"/>
    <w:rsid w:val="0082191D"/>
    <w:rsid w:val="008265A2"/>
    <w:rsid w:val="00833A64"/>
    <w:rsid w:val="00835791"/>
    <w:rsid w:val="00837353"/>
    <w:rsid w:val="00837E2E"/>
    <w:rsid w:val="00847B73"/>
    <w:rsid w:val="008522A3"/>
    <w:rsid w:val="00852957"/>
    <w:rsid w:val="00863232"/>
    <w:rsid w:val="00894B0D"/>
    <w:rsid w:val="008971F2"/>
    <w:rsid w:val="008F1AB0"/>
    <w:rsid w:val="008F2568"/>
    <w:rsid w:val="00907E66"/>
    <w:rsid w:val="009129B4"/>
    <w:rsid w:val="00931740"/>
    <w:rsid w:val="00932595"/>
    <w:rsid w:val="009616D9"/>
    <w:rsid w:val="009A0F87"/>
    <w:rsid w:val="009A654E"/>
    <w:rsid w:val="009A6FCA"/>
    <w:rsid w:val="009D36A7"/>
    <w:rsid w:val="009D38D8"/>
    <w:rsid w:val="009D3F10"/>
    <w:rsid w:val="009E0964"/>
    <w:rsid w:val="009E5002"/>
    <w:rsid w:val="009E689B"/>
    <w:rsid w:val="009E7483"/>
    <w:rsid w:val="009E7B1D"/>
    <w:rsid w:val="009F5C5B"/>
    <w:rsid w:val="00A05AE1"/>
    <w:rsid w:val="00A412A4"/>
    <w:rsid w:val="00A44094"/>
    <w:rsid w:val="00A513C1"/>
    <w:rsid w:val="00A600EC"/>
    <w:rsid w:val="00A60DCA"/>
    <w:rsid w:val="00A70E79"/>
    <w:rsid w:val="00A87255"/>
    <w:rsid w:val="00AD1A3C"/>
    <w:rsid w:val="00B028E2"/>
    <w:rsid w:val="00B02983"/>
    <w:rsid w:val="00B062C0"/>
    <w:rsid w:val="00B12CDA"/>
    <w:rsid w:val="00B42FE8"/>
    <w:rsid w:val="00B43CD0"/>
    <w:rsid w:val="00B53E00"/>
    <w:rsid w:val="00B608EA"/>
    <w:rsid w:val="00B76CF0"/>
    <w:rsid w:val="00B83409"/>
    <w:rsid w:val="00B9125F"/>
    <w:rsid w:val="00B91D12"/>
    <w:rsid w:val="00BC7634"/>
    <w:rsid w:val="00BE7954"/>
    <w:rsid w:val="00C17137"/>
    <w:rsid w:val="00C40520"/>
    <w:rsid w:val="00C41EA2"/>
    <w:rsid w:val="00C4632C"/>
    <w:rsid w:val="00C50808"/>
    <w:rsid w:val="00C61B46"/>
    <w:rsid w:val="00C66742"/>
    <w:rsid w:val="00C731B0"/>
    <w:rsid w:val="00C851A5"/>
    <w:rsid w:val="00CA0EC8"/>
    <w:rsid w:val="00CB3F67"/>
    <w:rsid w:val="00CE3264"/>
    <w:rsid w:val="00CF0D07"/>
    <w:rsid w:val="00CF23A5"/>
    <w:rsid w:val="00CF71CB"/>
    <w:rsid w:val="00D105FC"/>
    <w:rsid w:val="00D10A5F"/>
    <w:rsid w:val="00D26779"/>
    <w:rsid w:val="00D26FF1"/>
    <w:rsid w:val="00D31494"/>
    <w:rsid w:val="00D35AF2"/>
    <w:rsid w:val="00D44963"/>
    <w:rsid w:val="00D61040"/>
    <w:rsid w:val="00D63993"/>
    <w:rsid w:val="00D64D7D"/>
    <w:rsid w:val="00D66124"/>
    <w:rsid w:val="00D82971"/>
    <w:rsid w:val="00D87DA1"/>
    <w:rsid w:val="00D87F68"/>
    <w:rsid w:val="00DA600B"/>
    <w:rsid w:val="00DD4D41"/>
    <w:rsid w:val="00DF3BBF"/>
    <w:rsid w:val="00E11548"/>
    <w:rsid w:val="00E14D04"/>
    <w:rsid w:val="00E353D4"/>
    <w:rsid w:val="00E45983"/>
    <w:rsid w:val="00E521CC"/>
    <w:rsid w:val="00E52695"/>
    <w:rsid w:val="00E55037"/>
    <w:rsid w:val="00E611A0"/>
    <w:rsid w:val="00E62A30"/>
    <w:rsid w:val="00E63DEF"/>
    <w:rsid w:val="00E76B76"/>
    <w:rsid w:val="00E9732E"/>
    <w:rsid w:val="00E975E3"/>
    <w:rsid w:val="00EB339B"/>
    <w:rsid w:val="00EB6312"/>
    <w:rsid w:val="00EC65B9"/>
    <w:rsid w:val="00ED2FF2"/>
    <w:rsid w:val="00EE281F"/>
    <w:rsid w:val="00EF3E94"/>
    <w:rsid w:val="00EF63F7"/>
    <w:rsid w:val="00F16B7E"/>
    <w:rsid w:val="00F25C1F"/>
    <w:rsid w:val="00F322FC"/>
    <w:rsid w:val="00F3319A"/>
    <w:rsid w:val="00F41333"/>
    <w:rsid w:val="00F41F08"/>
    <w:rsid w:val="00F6235B"/>
    <w:rsid w:val="00F7016A"/>
    <w:rsid w:val="00F72D0F"/>
    <w:rsid w:val="00F779CE"/>
    <w:rsid w:val="00F90E31"/>
    <w:rsid w:val="00F943B8"/>
    <w:rsid w:val="00F963DF"/>
    <w:rsid w:val="00FA1B68"/>
    <w:rsid w:val="00FD7593"/>
    <w:rsid w:val="00FD77D4"/>
    <w:rsid w:val="00FF0D1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F470654"/>
  <w14:defaultImageDpi w14:val="32767"/>
  <w15:docId w15:val="{56B0ACDC-B0AA-4CAA-9081-CA482EBE7C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C3995"/>
    <w:pPr>
      <w:spacing w:after="200" w:line="276" w:lineRule="auto"/>
    </w:pPr>
    <w:rPr>
      <w:sz w:val="22"/>
      <w:szCs w:val="22"/>
      <w:lang w:val="en-GB"/>
    </w:rPr>
  </w:style>
  <w:style w:type="paragraph" w:styleId="Heading2">
    <w:name w:val="heading 2"/>
    <w:basedOn w:val="Normal"/>
    <w:link w:val="Heading2Char"/>
    <w:uiPriority w:val="9"/>
    <w:qFormat/>
    <w:rsid w:val="004C3995"/>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5">
    <w:name w:val="heading 5"/>
    <w:basedOn w:val="Normal"/>
    <w:link w:val="Heading5Char"/>
    <w:uiPriority w:val="9"/>
    <w:qFormat/>
    <w:rsid w:val="004C3995"/>
    <w:pPr>
      <w:spacing w:before="100" w:beforeAutospacing="1" w:after="100" w:afterAutospacing="1" w:line="240" w:lineRule="auto"/>
      <w:outlineLvl w:val="4"/>
    </w:pPr>
    <w:rPr>
      <w:rFonts w:ascii="Times New Roman" w:eastAsia="Times New Roman" w:hAnsi="Times New Roman" w:cs="Times New Roman"/>
      <w:b/>
      <w:bCs/>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4C3995"/>
    <w:rPr>
      <w:rFonts w:ascii="Times New Roman" w:eastAsia="Times New Roman" w:hAnsi="Times New Roman" w:cs="Times New Roman"/>
      <w:b/>
      <w:bCs/>
      <w:sz w:val="36"/>
      <w:szCs w:val="36"/>
      <w:lang w:val="en-GB" w:eastAsia="en-GB"/>
    </w:rPr>
  </w:style>
  <w:style w:type="character" w:customStyle="1" w:styleId="Heading5Char">
    <w:name w:val="Heading 5 Char"/>
    <w:basedOn w:val="DefaultParagraphFont"/>
    <w:link w:val="Heading5"/>
    <w:uiPriority w:val="9"/>
    <w:rsid w:val="004C3995"/>
    <w:rPr>
      <w:rFonts w:ascii="Times New Roman" w:eastAsia="Times New Roman" w:hAnsi="Times New Roman" w:cs="Times New Roman"/>
      <w:b/>
      <w:bCs/>
      <w:sz w:val="20"/>
      <w:szCs w:val="20"/>
      <w:lang w:val="en-GB" w:eastAsia="en-GB"/>
    </w:rPr>
  </w:style>
  <w:style w:type="paragraph" w:styleId="ListParagraph">
    <w:name w:val="List Paragraph"/>
    <w:uiPriority w:val="34"/>
    <w:qFormat/>
    <w:rsid w:val="004C3995"/>
    <w:pPr>
      <w:spacing w:after="200" w:line="276" w:lineRule="auto"/>
      <w:ind w:left="720"/>
    </w:pPr>
    <w:rPr>
      <w:rFonts w:ascii="Calibri" w:eastAsia="ヒラギノ角ゴ Pro W3" w:hAnsi="Calibri" w:cs="Times New Roman"/>
      <w:color w:val="000000"/>
      <w:sz w:val="22"/>
      <w:szCs w:val="20"/>
      <w:lang w:val="en-GB"/>
    </w:rPr>
  </w:style>
  <w:style w:type="table" w:styleId="TableGrid">
    <w:name w:val="Table Grid"/>
    <w:basedOn w:val="TableNormal"/>
    <w:uiPriority w:val="59"/>
    <w:rsid w:val="004C3995"/>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4C3995"/>
    <w:rPr>
      <w:i/>
      <w:iCs/>
    </w:rPr>
  </w:style>
  <w:style w:type="table" w:customStyle="1" w:styleId="TableGrid1">
    <w:name w:val="Table Grid1"/>
    <w:basedOn w:val="TableNormal"/>
    <w:next w:val="TableGrid"/>
    <w:uiPriority w:val="59"/>
    <w:rsid w:val="004C3995"/>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4C3995"/>
  </w:style>
  <w:style w:type="character" w:customStyle="1" w:styleId="highlight">
    <w:name w:val="highlight"/>
    <w:basedOn w:val="DefaultParagraphFont"/>
    <w:rsid w:val="004C3995"/>
  </w:style>
  <w:style w:type="paragraph" w:styleId="FootnoteText">
    <w:name w:val="footnote text"/>
    <w:basedOn w:val="Normal"/>
    <w:link w:val="FootnoteTextChar"/>
    <w:uiPriority w:val="99"/>
    <w:unhideWhenUsed/>
    <w:rsid w:val="004C3995"/>
    <w:pPr>
      <w:spacing w:after="0" w:line="240" w:lineRule="auto"/>
    </w:pPr>
    <w:rPr>
      <w:rFonts w:eastAsiaTheme="minorEastAsia"/>
      <w:sz w:val="20"/>
      <w:szCs w:val="20"/>
      <w:lang w:eastAsia="en-GB"/>
    </w:rPr>
  </w:style>
  <w:style w:type="character" w:customStyle="1" w:styleId="FootnoteTextChar">
    <w:name w:val="Footnote Text Char"/>
    <w:basedOn w:val="DefaultParagraphFont"/>
    <w:link w:val="FootnoteText"/>
    <w:uiPriority w:val="99"/>
    <w:rsid w:val="004C3995"/>
    <w:rPr>
      <w:rFonts w:eastAsiaTheme="minorEastAsia"/>
      <w:sz w:val="20"/>
      <w:szCs w:val="20"/>
      <w:lang w:val="en-GB" w:eastAsia="en-GB"/>
    </w:rPr>
  </w:style>
  <w:style w:type="character" w:styleId="FootnoteReference">
    <w:name w:val="footnote reference"/>
    <w:basedOn w:val="DefaultParagraphFont"/>
    <w:uiPriority w:val="99"/>
    <w:semiHidden/>
    <w:unhideWhenUsed/>
    <w:rsid w:val="004C3995"/>
    <w:rPr>
      <w:vertAlign w:val="superscript"/>
    </w:rPr>
  </w:style>
  <w:style w:type="paragraph" w:styleId="Header">
    <w:name w:val="header"/>
    <w:basedOn w:val="Normal"/>
    <w:link w:val="HeaderChar"/>
    <w:uiPriority w:val="99"/>
    <w:unhideWhenUsed/>
    <w:rsid w:val="004C39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4C3995"/>
    <w:rPr>
      <w:sz w:val="22"/>
      <w:szCs w:val="22"/>
      <w:lang w:val="en-GB"/>
    </w:rPr>
  </w:style>
  <w:style w:type="paragraph" w:styleId="Footer">
    <w:name w:val="footer"/>
    <w:basedOn w:val="Normal"/>
    <w:link w:val="FooterChar"/>
    <w:uiPriority w:val="99"/>
    <w:unhideWhenUsed/>
    <w:rsid w:val="004C39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4C3995"/>
    <w:rPr>
      <w:sz w:val="22"/>
      <w:szCs w:val="22"/>
      <w:lang w:val="en-GB"/>
    </w:rPr>
  </w:style>
  <w:style w:type="character" w:styleId="Hyperlink">
    <w:name w:val="Hyperlink"/>
    <w:basedOn w:val="DefaultParagraphFont"/>
    <w:uiPriority w:val="99"/>
    <w:unhideWhenUsed/>
    <w:rsid w:val="004C3995"/>
    <w:rPr>
      <w:color w:val="0563C1" w:themeColor="hyperlink"/>
      <w:u w:val="single"/>
    </w:rPr>
  </w:style>
  <w:style w:type="character" w:styleId="FollowedHyperlink">
    <w:name w:val="FollowedHyperlink"/>
    <w:basedOn w:val="DefaultParagraphFont"/>
    <w:uiPriority w:val="99"/>
    <w:semiHidden/>
    <w:unhideWhenUsed/>
    <w:rsid w:val="004C3995"/>
    <w:rPr>
      <w:color w:val="954F72" w:themeColor="followedHyperlink"/>
      <w:u w:val="single"/>
    </w:rPr>
  </w:style>
  <w:style w:type="character" w:styleId="CommentReference">
    <w:name w:val="annotation reference"/>
    <w:basedOn w:val="DefaultParagraphFont"/>
    <w:uiPriority w:val="99"/>
    <w:semiHidden/>
    <w:unhideWhenUsed/>
    <w:rsid w:val="004C3995"/>
    <w:rPr>
      <w:sz w:val="18"/>
      <w:szCs w:val="18"/>
    </w:rPr>
  </w:style>
  <w:style w:type="paragraph" w:styleId="CommentText">
    <w:name w:val="annotation text"/>
    <w:basedOn w:val="Normal"/>
    <w:link w:val="CommentTextChar"/>
    <w:uiPriority w:val="99"/>
    <w:semiHidden/>
    <w:unhideWhenUsed/>
    <w:rsid w:val="004C3995"/>
    <w:pPr>
      <w:spacing w:line="240" w:lineRule="auto"/>
    </w:pPr>
    <w:rPr>
      <w:sz w:val="24"/>
      <w:szCs w:val="24"/>
    </w:rPr>
  </w:style>
  <w:style w:type="character" w:customStyle="1" w:styleId="CommentTextChar">
    <w:name w:val="Comment Text Char"/>
    <w:basedOn w:val="DefaultParagraphFont"/>
    <w:link w:val="CommentText"/>
    <w:uiPriority w:val="99"/>
    <w:semiHidden/>
    <w:rsid w:val="004C3995"/>
    <w:rPr>
      <w:lang w:val="en-GB"/>
    </w:rPr>
  </w:style>
  <w:style w:type="paragraph" w:styleId="CommentSubject">
    <w:name w:val="annotation subject"/>
    <w:basedOn w:val="CommentText"/>
    <w:next w:val="CommentText"/>
    <w:link w:val="CommentSubjectChar"/>
    <w:uiPriority w:val="99"/>
    <w:semiHidden/>
    <w:unhideWhenUsed/>
    <w:rsid w:val="004C3995"/>
    <w:rPr>
      <w:b/>
      <w:bCs/>
      <w:sz w:val="20"/>
      <w:szCs w:val="20"/>
    </w:rPr>
  </w:style>
  <w:style w:type="character" w:customStyle="1" w:styleId="CommentSubjectChar">
    <w:name w:val="Comment Subject Char"/>
    <w:basedOn w:val="CommentTextChar"/>
    <w:link w:val="CommentSubject"/>
    <w:uiPriority w:val="99"/>
    <w:semiHidden/>
    <w:rsid w:val="004C3995"/>
    <w:rPr>
      <w:b/>
      <w:bCs/>
      <w:sz w:val="20"/>
      <w:szCs w:val="20"/>
      <w:lang w:val="en-GB"/>
    </w:rPr>
  </w:style>
  <w:style w:type="paragraph" w:styleId="BalloonText">
    <w:name w:val="Balloon Text"/>
    <w:basedOn w:val="Normal"/>
    <w:link w:val="BalloonTextChar"/>
    <w:uiPriority w:val="99"/>
    <w:semiHidden/>
    <w:unhideWhenUsed/>
    <w:rsid w:val="004C3995"/>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4C3995"/>
    <w:rPr>
      <w:rFonts w:ascii="Lucida Grande" w:hAnsi="Lucida Grande"/>
      <w:sz w:val="18"/>
      <w:szCs w:val="18"/>
      <w:lang w:val="en-GB"/>
    </w:rPr>
  </w:style>
  <w:style w:type="table" w:customStyle="1" w:styleId="TableGrid2">
    <w:name w:val="Table Grid2"/>
    <w:basedOn w:val="TableNormal"/>
    <w:next w:val="TableGrid"/>
    <w:uiPriority w:val="59"/>
    <w:rsid w:val="004C3995"/>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4C3995"/>
    <w:rPr>
      <w:sz w:val="22"/>
      <w:szCs w:val="22"/>
      <w:lang w:val="en-GB"/>
    </w:rPr>
  </w:style>
  <w:style w:type="numbering" w:customStyle="1" w:styleId="NoList2">
    <w:name w:val="No List2"/>
    <w:next w:val="NoList"/>
    <w:uiPriority w:val="99"/>
    <w:semiHidden/>
    <w:unhideWhenUsed/>
    <w:rsid w:val="004C3995"/>
  </w:style>
  <w:style w:type="paragraph" w:styleId="NormalWeb">
    <w:name w:val="Normal (Web)"/>
    <w:basedOn w:val="Normal"/>
    <w:uiPriority w:val="99"/>
    <w:unhideWhenUsed/>
    <w:rsid w:val="004C399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TMLCite">
    <w:name w:val="HTML Cite"/>
    <w:basedOn w:val="DefaultParagraphFont"/>
    <w:uiPriority w:val="99"/>
    <w:semiHidden/>
    <w:unhideWhenUsed/>
    <w:rsid w:val="004C3995"/>
    <w:rPr>
      <w:i/>
      <w:iCs/>
    </w:rPr>
  </w:style>
  <w:style w:type="character" w:customStyle="1" w:styleId="citation">
    <w:name w:val="citation"/>
    <w:basedOn w:val="DefaultParagraphFont"/>
    <w:rsid w:val="004C3995"/>
  </w:style>
  <w:style w:type="character" w:customStyle="1" w:styleId="st">
    <w:name w:val="st"/>
    <w:basedOn w:val="DefaultParagraphFont"/>
    <w:rsid w:val="004C3995"/>
  </w:style>
  <w:style w:type="character" w:customStyle="1" w:styleId="apple-converted-space">
    <w:name w:val="apple-converted-space"/>
    <w:basedOn w:val="DefaultParagraphFont"/>
    <w:rsid w:val="004C3995"/>
  </w:style>
  <w:style w:type="paragraph" w:customStyle="1" w:styleId="articledetails">
    <w:name w:val="articledetails"/>
    <w:basedOn w:val="Normal"/>
    <w:rsid w:val="004C3995"/>
    <w:pPr>
      <w:spacing w:before="100" w:beforeAutospacing="1" w:after="100" w:afterAutospacing="1" w:line="240" w:lineRule="auto"/>
    </w:pPr>
    <w:rPr>
      <w:rFonts w:ascii="Times New Roman" w:eastAsia="Times New Roman" w:hAnsi="Times New Roman" w:cs="Times New Roman"/>
      <w:sz w:val="24"/>
      <w:szCs w:val="24"/>
      <w:lang w:eastAsia="en-GB"/>
    </w:rPr>
  </w:style>
  <w:style w:type="table" w:customStyle="1" w:styleId="TableGrid3">
    <w:name w:val="Table Grid3"/>
    <w:basedOn w:val="TableNormal"/>
    <w:next w:val="TableGrid"/>
    <w:uiPriority w:val="59"/>
    <w:rsid w:val="004C3995"/>
    <w:rPr>
      <w:rFonts w:eastAsiaTheme="minorEastAsia"/>
      <w:sz w:val="22"/>
      <w:szCs w:val="22"/>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text-caption">
    <w:name w:val="context-caption"/>
    <w:basedOn w:val="Normal"/>
    <w:rsid w:val="004C3995"/>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credit">
    <w:name w:val="credit"/>
    <w:basedOn w:val="Normal"/>
    <w:rsid w:val="004C399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spelle">
    <w:name w:val="spelle"/>
    <w:basedOn w:val="DefaultParagraphFont"/>
    <w:rsid w:val="004C3995"/>
  </w:style>
  <w:style w:type="character" w:customStyle="1" w:styleId="imagesubtitle1">
    <w:name w:val="imagesubtitle1"/>
    <w:basedOn w:val="DefaultParagraphFont"/>
    <w:rsid w:val="004C3995"/>
    <w:rPr>
      <w:b w:val="0"/>
      <w:bCs w:val="0"/>
      <w:sz w:val="21"/>
      <w:szCs w:val="21"/>
    </w:rPr>
  </w:style>
  <w:style w:type="paragraph" w:styleId="BodyText">
    <w:name w:val="Body Text"/>
    <w:basedOn w:val="Normal"/>
    <w:link w:val="BodyTextChar"/>
    <w:semiHidden/>
    <w:rsid w:val="004C3995"/>
    <w:pPr>
      <w:overflowPunct w:val="0"/>
      <w:autoSpaceDE w:val="0"/>
      <w:autoSpaceDN w:val="0"/>
      <w:adjustRightInd w:val="0"/>
      <w:spacing w:after="120" w:line="240" w:lineRule="auto"/>
      <w:textAlignment w:val="baseline"/>
    </w:pPr>
    <w:rPr>
      <w:rFonts w:ascii="Times New Roman" w:eastAsia="Times New Roman" w:hAnsi="Times New Roman" w:cs="Times New Roman"/>
      <w:sz w:val="28"/>
      <w:szCs w:val="20"/>
      <w:lang w:eastAsia="en-GB"/>
    </w:rPr>
  </w:style>
  <w:style w:type="character" w:customStyle="1" w:styleId="BodyTextChar">
    <w:name w:val="Body Text Char"/>
    <w:basedOn w:val="DefaultParagraphFont"/>
    <w:link w:val="BodyText"/>
    <w:semiHidden/>
    <w:rsid w:val="004C3995"/>
    <w:rPr>
      <w:rFonts w:ascii="Times New Roman" w:eastAsia="Times New Roman" w:hAnsi="Times New Roman" w:cs="Times New Roman"/>
      <w:sz w:val="28"/>
      <w:szCs w:val="20"/>
      <w:lang w:val="en-GB" w:eastAsia="en-GB"/>
    </w:rPr>
  </w:style>
  <w:style w:type="paragraph" w:styleId="EndnoteText">
    <w:name w:val="endnote text"/>
    <w:basedOn w:val="Normal"/>
    <w:link w:val="EndnoteTextChar"/>
    <w:semiHidden/>
    <w:rsid w:val="004C3995"/>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en-GB"/>
    </w:rPr>
  </w:style>
  <w:style w:type="character" w:customStyle="1" w:styleId="EndnoteTextChar">
    <w:name w:val="Endnote Text Char"/>
    <w:basedOn w:val="DefaultParagraphFont"/>
    <w:link w:val="EndnoteText"/>
    <w:semiHidden/>
    <w:rsid w:val="004C3995"/>
    <w:rPr>
      <w:rFonts w:ascii="Times New Roman" w:eastAsia="Times New Roman" w:hAnsi="Times New Roman" w:cs="Times New Roman"/>
      <w:sz w:val="20"/>
      <w:szCs w:val="20"/>
      <w:lang w:val="en-GB" w:eastAsia="en-GB"/>
    </w:rPr>
  </w:style>
  <w:style w:type="character" w:styleId="EndnoteReference">
    <w:name w:val="endnote reference"/>
    <w:semiHidden/>
    <w:rsid w:val="004C3995"/>
    <w:rPr>
      <w:vertAlign w:val="superscript"/>
    </w:rPr>
  </w:style>
  <w:style w:type="character" w:styleId="Strong">
    <w:name w:val="Strong"/>
    <w:basedOn w:val="DefaultParagraphFont"/>
    <w:uiPriority w:val="22"/>
    <w:qFormat/>
    <w:rsid w:val="004C3995"/>
    <w:rPr>
      <w:b/>
      <w:bCs/>
    </w:rPr>
  </w:style>
  <w:style w:type="paragraph" w:styleId="NoSpacing">
    <w:name w:val="No Spacing"/>
    <w:uiPriority w:val="1"/>
    <w:qFormat/>
    <w:rsid w:val="004C3995"/>
    <w:rPr>
      <w:rFonts w:eastAsiaTheme="minorEastAsia"/>
      <w:sz w:val="22"/>
      <w:szCs w:val="22"/>
      <w:lang w:val="en-GB" w:eastAsia="en-GB"/>
    </w:rPr>
  </w:style>
  <w:style w:type="character" w:customStyle="1" w:styleId="printonly">
    <w:name w:val="printonly"/>
    <w:basedOn w:val="DefaultParagraphFont"/>
    <w:rsid w:val="004C3995"/>
  </w:style>
  <w:style w:type="character" w:customStyle="1" w:styleId="reference-accessdate">
    <w:name w:val="reference-accessdate"/>
    <w:basedOn w:val="DefaultParagraphFont"/>
    <w:rsid w:val="004C3995"/>
  </w:style>
  <w:style w:type="character" w:customStyle="1" w:styleId="red">
    <w:name w:val="red"/>
    <w:basedOn w:val="DefaultParagraphFont"/>
    <w:rsid w:val="004C3995"/>
  </w:style>
  <w:style w:type="character" w:customStyle="1" w:styleId="UnresolvedMention">
    <w:name w:val="Unresolved Mention"/>
    <w:basedOn w:val="DefaultParagraphFont"/>
    <w:uiPriority w:val="99"/>
    <w:semiHidden/>
    <w:unhideWhenUsed/>
    <w:rsid w:val="00B91D1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7184607">
      <w:bodyDiv w:val="1"/>
      <w:marLeft w:val="0"/>
      <w:marRight w:val="0"/>
      <w:marTop w:val="0"/>
      <w:marBottom w:val="0"/>
      <w:divBdr>
        <w:top w:val="none" w:sz="0" w:space="0" w:color="auto"/>
        <w:left w:val="none" w:sz="0" w:space="0" w:color="auto"/>
        <w:bottom w:val="none" w:sz="0" w:space="0" w:color="auto"/>
        <w:right w:val="none" w:sz="0" w:space="0" w:color="auto"/>
      </w:divBdr>
      <w:divsChild>
        <w:div w:id="48921710">
          <w:marLeft w:val="0"/>
          <w:marRight w:val="0"/>
          <w:marTop w:val="0"/>
          <w:marBottom w:val="0"/>
          <w:divBdr>
            <w:top w:val="none" w:sz="0" w:space="0" w:color="auto"/>
            <w:left w:val="none" w:sz="0" w:space="0" w:color="auto"/>
            <w:bottom w:val="none" w:sz="0" w:space="0" w:color="auto"/>
            <w:right w:val="none" w:sz="0" w:space="0" w:color="auto"/>
          </w:divBdr>
        </w:div>
        <w:div w:id="151723855">
          <w:marLeft w:val="0"/>
          <w:marRight w:val="0"/>
          <w:marTop w:val="0"/>
          <w:marBottom w:val="0"/>
          <w:divBdr>
            <w:top w:val="none" w:sz="0" w:space="0" w:color="auto"/>
            <w:left w:val="none" w:sz="0" w:space="0" w:color="auto"/>
            <w:bottom w:val="none" w:sz="0" w:space="0" w:color="auto"/>
            <w:right w:val="none" w:sz="0" w:space="0" w:color="auto"/>
          </w:divBdr>
        </w:div>
        <w:div w:id="162673523">
          <w:marLeft w:val="0"/>
          <w:marRight w:val="0"/>
          <w:marTop w:val="0"/>
          <w:marBottom w:val="0"/>
          <w:divBdr>
            <w:top w:val="none" w:sz="0" w:space="0" w:color="auto"/>
            <w:left w:val="none" w:sz="0" w:space="0" w:color="auto"/>
            <w:bottom w:val="none" w:sz="0" w:space="0" w:color="auto"/>
            <w:right w:val="none" w:sz="0" w:space="0" w:color="auto"/>
          </w:divBdr>
        </w:div>
        <w:div w:id="207570536">
          <w:marLeft w:val="0"/>
          <w:marRight w:val="0"/>
          <w:marTop w:val="0"/>
          <w:marBottom w:val="0"/>
          <w:divBdr>
            <w:top w:val="none" w:sz="0" w:space="0" w:color="auto"/>
            <w:left w:val="none" w:sz="0" w:space="0" w:color="auto"/>
            <w:bottom w:val="none" w:sz="0" w:space="0" w:color="auto"/>
            <w:right w:val="none" w:sz="0" w:space="0" w:color="auto"/>
          </w:divBdr>
        </w:div>
        <w:div w:id="250815734">
          <w:marLeft w:val="0"/>
          <w:marRight w:val="0"/>
          <w:marTop w:val="0"/>
          <w:marBottom w:val="0"/>
          <w:divBdr>
            <w:top w:val="none" w:sz="0" w:space="0" w:color="auto"/>
            <w:left w:val="none" w:sz="0" w:space="0" w:color="auto"/>
            <w:bottom w:val="none" w:sz="0" w:space="0" w:color="auto"/>
            <w:right w:val="none" w:sz="0" w:space="0" w:color="auto"/>
          </w:divBdr>
        </w:div>
        <w:div w:id="488444100">
          <w:marLeft w:val="0"/>
          <w:marRight w:val="0"/>
          <w:marTop w:val="0"/>
          <w:marBottom w:val="0"/>
          <w:divBdr>
            <w:top w:val="none" w:sz="0" w:space="0" w:color="auto"/>
            <w:left w:val="none" w:sz="0" w:space="0" w:color="auto"/>
            <w:bottom w:val="none" w:sz="0" w:space="0" w:color="auto"/>
            <w:right w:val="none" w:sz="0" w:space="0" w:color="auto"/>
          </w:divBdr>
        </w:div>
        <w:div w:id="607811388">
          <w:marLeft w:val="0"/>
          <w:marRight w:val="0"/>
          <w:marTop w:val="0"/>
          <w:marBottom w:val="0"/>
          <w:divBdr>
            <w:top w:val="none" w:sz="0" w:space="0" w:color="auto"/>
            <w:left w:val="none" w:sz="0" w:space="0" w:color="auto"/>
            <w:bottom w:val="none" w:sz="0" w:space="0" w:color="auto"/>
            <w:right w:val="none" w:sz="0" w:space="0" w:color="auto"/>
          </w:divBdr>
        </w:div>
        <w:div w:id="685330347">
          <w:marLeft w:val="0"/>
          <w:marRight w:val="0"/>
          <w:marTop w:val="0"/>
          <w:marBottom w:val="0"/>
          <w:divBdr>
            <w:top w:val="none" w:sz="0" w:space="0" w:color="auto"/>
            <w:left w:val="none" w:sz="0" w:space="0" w:color="auto"/>
            <w:bottom w:val="none" w:sz="0" w:space="0" w:color="auto"/>
            <w:right w:val="none" w:sz="0" w:space="0" w:color="auto"/>
          </w:divBdr>
        </w:div>
        <w:div w:id="741175343">
          <w:marLeft w:val="0"/>
          <w:marRight w:val="0"/>
          <w:marTop w:val="0"/>
          <w:marBottom w:val="0"/>
          <w:divBdr>
            <w:top w:val="none" w:sz="0" w:space="0" w:color="auto"/>
            <w:left w:val="none" w:sz="0" w:space="0" w:color="auto"/>
            <w:bottom w:val="none" w:sz="0" w:space="0" w:color="auto"/>
            <w:right w:val="none" w:sz="0" w:space="0" w:color="auto"/>
          </w:divBdr>
        </w:div>
        <w:div w:id="789668722">
          <w:marLeft w:val="0"/>
          <w:marRight w:val="0"/>
          <w:marTop w:val="0"/>
          <w:marBottom w:val="0"/>
          <w:divBdr>
            <w:top w:val="none" w:sz="0" w:space="0" w:color="auto"/>
            <w:left w:val="none" w:sz="0" w:space="0" w:color="auto"/>
            <w:bottom w:val="none" w:sz="0" w:space="0" w:color="auto"/>
            <w:right w:val="none" w:sz="0" w:space="0" w:color="auto"/>
          </w:divBdr>
        </w:div>
        <w:div w:id="811218743">
          <w:marLeft w:val="0"/>
          <w:marRight w:val="0"/>
          <w:marTop w:val="0"/>
          <w:marBottom w:val="0"/>
          <w:divBdr>
            <w:top w:val="none" w:sz="0" w:space="0" w:color="auto"/>
            <w:left w:val="none" w:sz="0" w:space="0" w:color="auto"/>
            <w:bottom w:val="none" w:sz="0" w:space="0" w:color="auto"/>
            <w:right w:val="none" w:sz="0" w:space="0" w:color="auto"/>
          </w:divBdr>
        </w:div>
        <w:div w:id="827407403">
          <w:marLeft w:val="0"/>
          <w:marRight w:val="0"/>
          <w:marTop w:val="0"/>
          <w:marBottom w:val="0"/>
          <w:divBdr>
            <w:top w:val="none" w:sz="0" w:space="0" w:color="auto"/>
            <w:left w:val="none" w:sz="0" w:space="0" w:color="auto"/>
            <w:bottom w:val="none" w:sz="0" w:space="0" w:color="auto"/>
            <w:right w:val="none" w:sz="0" w:space="0" w:color="auto"/>
          </w:divBdr>
        </w:div>
        <w:div w:id="831919045">
          <w:marLeft w:val="0"/>
          <w:marRight w:val="0"/>
          <w:marTop w:val="0"/>
          <w:marBottom w:val="0"/>
          <w:divBdr>
            <w:top w:val="none" w:sz="0" w:space="0" w:color="auto"/>
            <w:left w:val="none" w:sz="0" w:space="0" w:color="auto"/>
            <w:bottom w:val="none" w:sz="0" w:space="0" w:color="auto"/>
            <w:right w:val="none" w:sz="0" w:space="0" w:color="auto"/>
          </w:divBdr>
        </w:div>
        <w:div w:id="886455936">
          <w:marLeft w:val="0"/>
          <w:marRight w:val="0"/>
          <w:marTop w:val="0"/>
          <w:marBottom w:val="0"/>
          <w:divBdr>
            <w:top w:val="none" w:sz="0" w:space="0" w:color="auto"/>
            <w:left w:val="none" w:sz="0" w:space="0" w:color="auto"/>
            <w:bottom w:val="none" w:sz="0" w:space="0" w:color="auto"/>
            <w:right w:val="none" w:sz="0" w:space="0" w:color="auto"/>
          </w:divBdr>
        </w:div>
        <w:div w:id="1094864119">
          <w:marLeft w:val="0"/>
          <w:marRight w:val="0"/>
          <w:marTop w:val="0"/>
          <w:marBottom w:val="0"/>
          <w:divBdr>
            <w:top w:val="none" w:sz="0" w:space="0" w:color="auto"/>
            <w:left w:val="none" w:sz="0" w:space="0" w:color="auto"/>
            <w:bottom w:val="none" w:sz="0" w:space="0" w:color="auto"/>
            <w:right w:val="none" w:sz="0" w:space="0" w:color="auto"/>
          </w:divBdr>
        </w:div>
        <w:div w:id="1099646455">
          <w:marLeft w:val="0"/>
          <w:marRight w:val="0"/>
          <w:marTop w:val="0"/>
          <w:marBottom w:val="0"/>
          <w:divBdr>
            <w:top w:val="none" w:sz="0" w:space="0" w:color="auto"/>
            <w:left w:val="none" w:sz="0" w:space="0" w:color="auto"/>
            <w:bottom w:val="none" w:sz="0" w:space="0" w:color="auto"/>
            <w:right w:val="none" w:sz="0" w:space="0" w:color="auto"/>
          </w:divBdr>
        </w:div>
        <w:div w:id="1154643020">
          <w:marLeft w:val="0"/>
          <w:marRight w:val="0"/>
          <w:marTop w:val="0"/>
          <w:marBottom w:val="0"/>
          <w:divBdr>
            <w:top w:val="none" w:sz="0" w:space="0" w:color="auto"/>
            <w:left w:val="none" w:sz="0" w:space="0" w:color="auto"/>
            <w:bottom w:val="none" w:sz="0" w:space="0" w:color="auto"/>
            <w:right w:val="none" w:sz="0" w:space="0" w:color="auto"/>
          </w:divBdr>
        </w:div>
        <w:div w:id="1217667676">
          <w:marLeft w:val="0"/>
          <w:marRight w:val="0"/>
          <w:marTop w:val="0"/>
          <w:marBottom w:val="0"/>
          <w:divBdr>
            <w:top w:val="none" w:sz="0" w:space="0" w:color="auto"/>
            <w:left w:val="none" w:sz="0" w:space="0" w:color="auto"/>
            <w:bottom w:val="none" w:sz="0" w:space="0" w:color="auto"/>
            <w:right w:val="none" w:sz="0" w:space="0" w:color="auto"/>
          </w:divBdr>
        </w:div>
        <w:div w:id="1252006944">
          <w:marLeft w:val="0"/>
          <w:marRight w:val="0"/>
          <w:marTop w:val="0"/>
          <w:marBottom w:val="0"/>
          <w:divBdr>
            <w:top w:val="none" w:sz="0" w:space="0" w:color="auto"/>
            <w:left w:val="none" w:sz="0" w:space="0" w:color="auto"/>
            <w:bottom w:val="none" w:sz="0" w:space="0" w:color="auto"/>
            <w:right w:val="none" w:sz="0" w:space="0" w:color="auto"/>
          </w:divBdr>
        </w:div>
        <w:div w:id="1282760992">
          <w:marLeft w:val="0"/>
          <w:marRight w:val="0"/>
          <w:marTop w:val="0"/>
          <w:marBottom w:val="0"/>
          <w:divBdr>
            <w:top w:val="none" w:sz="0" w:space="0" w:color="auto"/>
            <w:left w:val="none" w:sz="0" w:space="0" w:color="auto"/>
            <w:bottom w:val="none" w:sz="0" w:space="0" w:color="auto"/>
            <w:right w:val="none" w:sz="0" w:space="0" w:color="auto"/>
          </w:divBdr>
        </w:div>
        <w:div w:id="1357266379">
          <w:marLeft w:val="0"/>
          <w:marRight w:val="0"/>
          <w:marTop w:val="0"/>
          <w:marBottom w:val="0"/>
          <w:divBdr>
            <w:top w:val="none" w:sz="0" w:space="0" w:color="auto"/>
            <w:left w:val="none" w:sz="0" w:space="0" w:color="auto"/>
            <w:bottom w:val="none" w:sz="0" w:space="0" w:color="auto"/>
            <w:right w:val="none" w:sz="0" w:space="0" w:color="auto"/>
          </w:divBdr>
        </w:div>
        <w:div w:id="1449859054">
          <w:marLeft w:val="0"/>
          <w:marRight w:val="0"/>
          <w:marTop w:val="0"/>
          <w:marBottom w:val="0"/>
          <w:divBdr>
            <w:top w:val="none" w:sz="0" w:space="0" w:color="auto"/>
            <w:left w:val="none" w:sz="0" w:space="0" w:color="auto"/>
            <w:bottom w:val="none" w:sz="0" w:space="0" w:color="auto"/>
            <w:right w:val="none" w:sz="0" w:space="0" w:color="auto"/>
          </w:divBdr>
        </w:div>
        <w:div w:id="1667127108">
          <w:marLeft w:val="0"/>
          <w:marRight w:val="0"/>
          <w:marTop w:val="0"/>
          <w:marBottom w:val="0"/>
          <w:divBdr>
            <w:top w:val="none" w:sz="0" w:space="0" w:color="auto"/>
            <w:left w:val="none" w:sz="0" w:space="0" w:color="auto"/>
            <w:bottom w:val="none" w:sz="0" w:space="0" w:color="auto"/>
            <w:right w:val="none" w:sz="0" w:space="0" w:color="auto"/>
          </w:divBdr>
        </w:div>
        <w:div w:id="1724719629">
          <w:marLeft w:val="0"/>
          <w:marRight w:val="0"/>
          <w:marTop w:val="0"/>
          <w:marBottom w:val="0"/>
          <w:divBdr>
            <w:top w:val="none" w:sz="0" w:space="0" w:color="auto"/>
            <w:left w:val="none" w:sz="0" w:space="0" w:color="auto"/>
            <w:bottom w:val="none" w:sz="0" w:space="0" w:color="auto"/>
            <w:right w:val="none" w:sz="0" w:space="0" w:color="auto"/>
          </w:divBdr>
        </w:div>
        <w:div w:id="1731610340">
          <w:marLeft w:val="0"/>
          <w:marRight w:val="0"/>
          <w:marTop w:val="0"/>
          <w:marBottom w:val="0"/>
          <w:divBdr>
            <w:top w:val="none" w:sz="0" w:space="0" w:color="auto"/>
            <w:left w:val="none" w:sz="0" w:space="0" w:color="auto"/>
            <w:bottom w:val="none" w:sz="0" w:space="0" w:color="auto"/>
            <w:right w:val="none" w:sz="0" w:space="0" w:color="auto"/>
          </w:divBdr>
        </w:div>
        <w:div w:id="1755320867">
          <w:marLeft w:val="0"/>
          <w:marRight w:val="0"/>
          <w:marTop w:val="0"/>
          <w:marBottom w:val="0"/>
          <w:divBdr>
            <w:top w:val="none" w:sz="0" w:space="0" w:color="auto"/>
            <w:left w:val="none" w:sz="0" w:space="0" w:color="auto"/>
            <w:bottom w:val="none" w:sz="0" w:space="0" w:color="auto"/>
            <w:right w:val="none" w:sz="0" w:space="0" w:color="auto"/>
          </w:divBdr>
        </w:div>
        <w:div w:id="1775401638">
          <w:marLeft w:val="0"/>
          <w:marRight w:val="0"/>
          <w:marTop w:val="0"/>
          <w:marBottom w:val="0"/>
          <w:divBdr>
            <w:top w:val="none" w:sz="0" w:space="0" w:color="auto"/>
            <w:left w:val="none" w:sz="0" w:space="0" w:color="auto"/>
            <w:bottom w:val="none" w:sz="0" w:space="0" w:color="auto"/>
            <w:right w:val="none" w:sz="0" w:space="0" w:color="auto"/>
          </w:divBdr>
        </w:div>
        <w:div w:id="1795054011">
          <w:marLeft w:val="0"/>
          <w:marRight w:val="0"/>
          <w:marTop w:val="0"/>
          <w:marBottom w:val="0"/>
          <w:divBdr>
            <w:top w:val="none" w:sz="0" w:space="0" w:color="auto"/>
            <w:left w:val="none" w:sz="0" w:space="0" w:color="auto"/>
            <w:bottom w:val="none" w:sz="0" w:space="0" w:color="auto"/>
            <w:right w:val="none" w:sz="0" w:space="0" w:color="auto"/>
          </w:divBdr>
        </w:div>
        <w:div w:id="1884634503">
          <w:marLeft w:val="0"/>
          <w:marRight w:val="0"/>
          <w:marTop w:val="0"/>
          <w:marBottom w:val="0"/>
          <w:divBdr>
            <w:top w:val="none" w:sz="0" w:space="0" w:color="auto"/>
            <w:left w:val="none" w:sz="0" w:space="0" w:color="auto"/>
            <w:bottom w:val="none" w:sz="0" w:space="0" w:color="auto"/>
            <w:right w:val="none" w:sz="0" w:space="0" w:color="auto"/>
          </w:divBdr>
        </w:div>
        <w:div w:id="1922328177">
          <w:marLeft w:val="0"/>
          <w:marRight w:val="0"/>
          <w:marTop w:val="0"/>
          <w:marBottom w:val="0"/>
          <w:divBdr>
            <w:top w:val="none" w:sz="0" w:space="0" w:color="auto"/>
            <w:left w:val="none" w:sz="0" w:space="0" w:color="auto"/>
            <w:bottom w:val="none" w:sz="0" w:space="0" w:color="auto"/>
            <w:right w:val="none" w:sz="0" w:space="0" w:color="auto"/>
          </w:divBdr>
        </w:div>
        <w:div w:id="2141992336">
          <w:marLeft w:val="0"/>
          <w:marRight w:val="0"/>
          <w:marTop w:val="0"/>
          <w:marBottom w:val="0"/>
          <w:divBdr>
            <w:top w:val="none" w:sz="0" w:space="0" w:color="auto"/>
            <w:left w:val="none" w:sz="0" w:space="0" w:color="auto"/>
            <w:bottom w:val="none" w:sz="0" w:space="0" w:color="auto"/>
            <w:right w:val="none" w:sz="0" w:space="0" w:color="auto"/>
          </w:divBdr>
        </w:div>
      </w:divsChild>
    </w:div>
    <w:div w:id="1450783014">
      <w:bodyDiv w:val="1"/>
      <w:marLeft w:val="0"/>
      <w:marRight w:val="0"/>
      <w:marTop w:val="0"/>
      <w:marBottom w:val="0"/>
      <w:divBdr>
        <w:top w:val="none" w:sz="0" w:space="0" w:color="auto"/>
        <w:left w:val="none" w:sz="0" w:space="0" w:color="auto"/>
        <w:bottom w:val="none" w:sz="0" w:space="0" w:color="auto"/>
        <w:right w:val="none" w:sz="0" w:space="0" w:color="auto"/>
      </w:divBdr>
    </w:div>
    <w:div w:id="1640838832">
      <w:bodyDiv w:val="1"/>
      <w:marLeft w:val="0"/>
      <w:marRight w:val="0"/>
      <w:marTop w:val="0"/>
      <w:marBottom w:val="0"/>
      <w:divBdr>
        <w:top w:val="none" w:sz="0" w:space="0" w:color="auto"/>
        <w:left w:val="none" w:sz="0" w:space="0" w:color="auto"/>
        <w:bottom w:val="none" w:sz="0" w:space="0" w:color="auto"/>
        <w:right w:val="none" w:sz="0" w:space="0" w:color="auto"/>
      </w:divBdr>
      <w:divsChild>
        <w:div w:id="277957786">
          <w:marLeft w:val="0"/>
          <w:marRight w:val="0"/>
          <w:marTop w:val="0"/>
          <w:marBottom w:val="0"/>
          <w:divBdr>
            <w:top w:val="none" w:sz="0" w:space="0" w:color="auto"/>
            <w:left w:val="none" w:sz="0" w:space="0" w:color="auto"/>
            <w:bottom w:val="none" w:sz="0" w:space="0" w:color="auto"/>
            <w:right w:val="none" w:sz="0" w:space="0" w:color="auto"/>
          </w:divBdr>
        </w:div>
        <w:div w:id="1467626966">
          <w:marLeft w:val="0"/>
          <w:marRight w:val="0"/>
          <w:marTop w:val="0"/>
          <w:marBottom w:val="0"/>
          <w:divBdr>
            <w:top w:val="none" w:sz="0" w:space="0" w:color="auto"/>
            <w:left w:val="none" w:sz="0" w:space="0" w:color="auto"/>
            <w:bottom w:val="none" w:sz="0" w:space="0" w:color="auto"/>
            <w:right w:val="none" w:sz="0" w:space="0" w:color="auto"/>
          </w:divBdr>
        </w:div>
      </w:divsChild>
    </w:div>
    <w:div w:id="212352919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microsoft.com/office/2007/relationships/hdphoto" Target="media/hdphoto1.wdp"/><Relationship Id="rId18" Type="http://schemas.openxmlformats.org/officeDocument/2006/relationships/hyperlink" Target="http://www.artandresearch.org.uk/v2n2/maharaj.html"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www.herts.ac.uk/__data/assets/pdf_file/0004/12289/WPIAAD_vol1_macleod.pdf" TargetMode="External"/><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AF55ED-D3D6-488C-A2D6-AD628CE03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3472</Words>
  <Characters>19797</Characters>
  <Application>Microsoft Office Word</Application>
  <DocSecurity>4</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Hannah Bedford</cp:lastModifiedBy>
  <cp:revision>2</cp:revision>
  <cp:lastPrinted>2019-01-05T18:41:00Z</cp:lastPrinted>
  <dcterms:created xsi:type="dcterms:W3CDTF">2019-07-16T09:35:00Z</dcterms:created>
  <dcterms:modified xsi:type="dcterms:W3CDTF">2019-07-16T09:35:00Z</dcterms:modified>
</cp:coreProperties>
</file>